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65932301&amp;originatingDoc=I3c57df24353911d9abe5ec754599669c&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17917001&amp;originatingDoc=I3c57df24353911d9abe5ec754599669c&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249851601&amp;originatingDoc=I3c57df24353911d9abe5ec754599669c&amp;refType=RQ&amp;originationContext=document&amp;vr=3.0&amp;rs=cblt1.0&amp;transitionType=DocumentItem&amp;contextData=(sc.Default)"/>
  <Relationship Id="r10"
    Type="http://schemas.openxmlformats.org/officeDocument/2006/relationships/hyperlink"
    TargetMode="External"
    Target="http://www.westlaw.com/Link/Document/FullText?findType=L&amp;pubNum=1000005&amp;cite=DESTT7S7205&amp;originatingDoc=I3c57df24353911d9abe5ec754599669c&amp;refType=LQ&amp;originationContext=document&amp;vr=3.0&amp;rs=cblt1.0&amp;transitionType=DocumentItem&amp;contextData=(sc.Default)"/>
  <Relationship Id="r11"
    Type="http://schemas.openxmlformats.org/officeDocument/2006/relationships/hyperlink"
    TargetMode="External"
    Target="http://www.westlaw.com/Link/Document/FullText?findType=L&amp;pubNum=1000005&amp;cite=DESTT7S7207&amp;originatingDoc=I3c57df24353911d9abe5ec754599669c&amp;refType=LQ&amp;originationContext=document&amp;vr=3.0&amp;rs=cblt1.0&amp;transitionType=DocumentItem&amp;contextData=(sc.Default)"/>
  <Relationship Id="r12"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13"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14"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15"
    Type="http://schemas.openxmlformats.org/officeDocument/2006/relationships/hyperlink"
    TargetMode="External"
    Target="http://www.westlaw.com/Link/Document/FullText?findType=L&amp;pubNum=1000005&amp;cite=DESTT7S7210&amp;originatingDoc=I3c57df24353911d9abe5ec754599669c&amp;refType=LQ&amp;originationContext=document&amp;vr=3.0&amp;rs=cblt1.0&amp;transitionType=DocumentItem&amp;contextData=(sc.Default)"/>
  <Relationship Id="r16"
    Type="http://schemas.openxmlformats.org/officeDocument/2006/relationships/hyperlink"
    TargetMode="External"
    Target="https://1.next.westlaw.com/Link/RelatedInformation/Flag?documentGuid=I88f994f233b711d986b0aa9c82c164c0&amp;transitionType=InlineKeyCiteFlags&amp;originationContext=docHeaderFlag&amp;Rank=0&amp;ppcid=d0a481ffefde47029fdf1d944786e890&amp;contextData=(sc.Default)"/>
  <Relationship Id="r17"
    Type="http://schemas.openxmlformats.org/officeDocument/2006/relationships/hyperlink"
    TargetMode="External"
    Target="http://www.westlaw.com/Link/Document/FullText?findType=Y&amp;serNum=1851001117&amp;pubNum=315&amp;originatingDoc=I3c57df24353911d9abe5ec754599669c&amp;refType=RP&amp;originationContext=document&amp;vr=3.0&amp;rs=cblt1.0&amp;transitionType=DocumentItem&amp;contextData=(sc.Default)"/>
  <Relationship Id="r18"
    Type="http://schemas.openxmlformats.org/officeDocument/2006/relationships/image"
    Target="images/2.png"/>
  <Relationship Id="r19"
    Type="http://schemas.openxmlformats.org/officeDocument/2006/relationships/hyperlink"
    TargetMode="External"
    Target="http://www.westlaw.com/Link/Document/FullText?findType=L&amp;pubNum=1000005&amp;cite=DESTT7S6009&amp;originatingDoc=I3c57df24353911d9abe5ec754599669c&amp;refType=LQ&amp;originationContext=document&amp;vr=3.0&amp;rs=cblt1.0&amp;transitionType=DocumentItem&amp;contextData=(sc.Default)"/>
  <Relationship Id="r20"
    Type="http://schemas.openxmlformats.org/officeDocument/2006/relationships/hyperlink"
    TargetMode="External"
    Target="https://1.next.westlaw.com/Link/RelatedInformation/Flag?documentGuid=I3e40bc1c347811d98b61a35269fc5f88&amp;transitionType=InlineKeyCiteFlags&amp;originationContext=docHeaderFlag&amp;Rank=0&amp;ppcid=d0a481ffefde47029fdf1d944786e890&amp;contextData=(sc.Default)"/>
  <Relationship Id="r21"
    Type="http://schemas.openxmlformats.org/officeDocument/2006/relationships/hyperlink"
    TargetMode="External"
    Target="http://www.westlaw.com/Link/Document/FullText?findType=Y&amp;serNum=1983112777&amp;pubNum=162&amp;originatingDoc=I3c57df24353911d9abe5ec754599669c&amp;refType=RP&amp;fi=co_pp_sp_162_383&amp;originationContext=document&amp;vr=3.0&amp;rs=cblt1.0&amp;transitionType=DocumentItem&amp;contextData=(sc.Default)#co_pp_sp_162_383"/>
  <Relationship Id="r22"
    Type="http://schemas.openxmlformats.org/officeDocument/2006/relationships/hyperlink"
    TargetMode="External"
    Target="http://www.westlaw.com/Link/Document/FullText?findType=Y&amp;serNum=1983239753&amp;pubNum=162&amp;originatingDoc=I3c57df24353911d9abe5ec754599669c&amp;refType=RP&amp;originationContext=document&amp;vr=3.0&amp;rs=cblt1.0&amp;transitionType=DocumentItem&amp;contextData=(sc.Default)"/>
  <Relationship Id="r23"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24"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25"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26"
    Type="http://schemas.openxmlformats.org/officeDocument/2006/relationships/hyperlink"
    TargetMode="External"
    Target="http://www.westlaw.com/Link/Document/FullText?findType=Y&amp;serNum=1969110024&amp;pubNum=162&amp;originatingDoc=I3c57df24353911d9abe5ec754599669c&amp;refType=RP&amp;fi=co_pp_sp_162_61&amp;originationContext=document&amp;vr=3.0&amp;rs=cblt1.0&amp;transitionType=DocumentItem&amp;contextData=(sc.Default)#co_pp_sp_162_61"/>
  <Relationship Id="r27"
    Type="http://schemas.openxmlformats.org/officeDocument/2006/relationships/hyperlink"
    TargetMode="External"
    Target="http://www.westlaw.com/Link/Document/FullText?findType=Y&amp;serNum=1966122337&amp;pubNum=350&amp;originatingDoc=I3c57df24353911d9abe5ec754599669c&amp;refType=RP&amp;originationContext=document&amp;vr=3.0&amp;rs=cblt1.0&amp;transitionType=DocumentItem&amp;contextData=(sc.Default)"/>
  <Relationship Id="r28"
    Type="http://schemas.openxmlformats.org/officeDocument/2006/relationships/hyperlink"
    TargetMode="External"
    Target="http://www.westlaw.com/Link/Document/FullText?findType=Y&amp;serNum=1966119591&amp;pubNum=345&amp;originatingDoc=I3c57df24353911d9abe5ec754599669c&amp;refType=RP&amp;originationContext=document&amp;vr=3.0&amp;rs=cblt1.0&amp;transitionType=DocumentItem&amp;contextData=(sc.Default)"/>
  <Relationship Id="r29"
    Type="http://schemas.openxmlformats.org/officeDocument/2006/relationships/hyperlink"
    TargetMode="External"
    Target="http://www.westlaw.com/Link/Document/FullText?findType=Y&amp;serNum=1947102417&amp;pubNum=661&amp;originatingDoc=I3c57df24353911d9abe5ec754599669c&amp;refType=RP&amp;originationContext=document&amp;vr=3.0&amp;rs=cblt1.0&amp;transitionType=DocumentItem&amp;contextData=(sc.Default)"/>
  <Relationship Id="r30"
    Type="http://schemas.openxmlformats.org/officeDocument/2006/relationships/hyperlink"
    TargetMode="External"
    Target="http://www.westlaw.com/Link/Document/FullText?findType=Y&amp;serNum=1979109604&amp;pubNum=162&amp;originatingDoc=I3c57df24353911d9abe5ec754599669c&amp;refType=RP&amp;fi=co_pp_sp_162_717&amp;originationContext=document&amp;vr=3.0&amp;rs=cblt1.0&amp;transitionType=DocumentItem&amp;contextData=(sc.Default)#co_pp_sp_162_717"/>
  <Relationship Id="r31"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32"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33"
    Type="http://schemas.openxmlformats.org/officeDocument/2006/relationships/hyperlink"
    TargetMode="External"
    Target="http://www.westlaw.com/Link/Document/FullText?findType=L&amp;pubNum=1000005&amp;cite=DESTT7S7208&amp;originatingDoc=I3c57df24353911d9abe5ec754599669c&amp;refType=LQ&amp;originationContext=document&amp;vr=3.0&amp;rs=cblt1.0&amp;transitionType=DocumentItem&amp;contextData=(sc.Default)"/>
  <Relationship Id="r34"
    Type="http://schemas.openxmlformats.org/officeDocument/2006/relationships/hyperlink"
    TargetMode="External"
    Target="https://1.next.westlaw.com/Link/RelatedInformation/Flag?documentGuid=I8c4b17f334ca11d986b0aa9c82c164c0&amp;transitionType=InlineKeyCiteFlags&amp;originationContext=docHeaderFlag&amp;Rank=0&amp;ppcid=d0a481ffefde47029fdf1d944786e890&amp;contextData=(sc.Default)"/>
  <Relationship Id="r35"
    Type="http://schemas.openxmlformats.org/officeDocument/2006/relationships/hyperlink"
    TargetMode="External"
    Target="http://www.westlaw.com/Link/Document/FullText?findType=Y&amp;serNum=1984110454&amp;pubNum=162&amp;originatingDoc=I3c57df24353911d9abe5ec754599669c&amp;refType=RP&amp;originationContext=document&amp;vr=3.0&amp;rs=cblt1.0&amp;transitionType=DocumentItem&amp;contextData=(sc.Default)"/>
  <Relationship Id="r36"
    Type="http://schemas.openxmlformats.org/officeDocument/2006/relationships/hyperlink"
    TargetMode="External"
    Target="https://1.next.westlaw.com/Link/RelatedInformation/Flag?documentGuid=I8c4b17f334ca11d986b0aa9c82c164c0&amp;transitionType=InlineKeyCiteFlags&amp;originationContext=docHeaderFlag&amp;Rank=0&amp;ppcid=d0a481ffefde47029fdf1d944786e890&amp;contextData=(sc.Default)"/>
  <Relationship Id="r37"
    Type="http://schemas.openxmlformats.org/officeDocument/2006/relationships/hyperlink"
    TargetMode="External"
    Target="http://www.westlaw.com/Link/Document/FullText?findType=Y&amp;serNum=1984110454&amp;originatingDoc=I3c57df24353911d9abe5ec754599669c&amp;refType=RP&amp;originationContext=document&amp;vr=3.0&amp;rs=cblt1.0&amp;transitionType=DocumentItem&amp;contextData=(sc.Default)"/>
  <Relationship Id="r38"
    Type="http://schemas.openxmlformats.org/officeDocument/2006/relationships/hyperlink"
    TargetMode="External"
    Target="https://1.next.westlaw.com/Link/RelatedInformation/Flag?documentGuid=If5e89a9333fb11d986b0aa9c82c164c0&amp;transitionType=InlineKeyCiteFlags&amp;originationContext=docHeaderFlag&amp;Rank=0&amp;ppcid=d0a481ffefde47029fdf1d944786e890&amp;contextData=(sc.Default)"/>
  <Relationship Id="r39"
    Type="http://schemas.openxmlformats.org/officeDocument/2006/relationships/hyperlink"
    TargetMode="External"
    Target="http://www.westlaw.com/Link/Document/FullText?findType=Y&amp;serNum=1967108611&amp;pubNum=162&amp;originatingDoc=I3c57df24353911d9abe5ec754599669c&amp;refType=RP&amp;fi=co_pp_sp_162_598&amp;originationContext=document&amp;vr=3.0&amp;rs=cblt1.0&amp;transitionType=DocumentItem&amp;contextData=(sc.Default)#co_pp_sp_162_598"/>
  <Relationship Id="r40"
    Type="http://schemas.openxmlformats.org/officeDocument/2006/relationships/hyperlink"
    TargetMode="External"
    Target="https://1.next.westlaw.com/Link/RelatedInformation/Flag?documentGuid=Ifab87125340611d986b0aa9c82c164c0&amp;transitionType=InlineKeyCiteFlags&amp;originationContext=docHeaderFlag&amp;Rank=0&amp;ppcid=d0a481ffefde47029fdf1d944786e890&amp;contextData=(sc.Default)"/>
  <Relationship Id="r41"
    Type="http://schemas.openxmlformats.org/officeDocument/2006/relationships/hyperlink"
    TargetMode="External"
    Target="http://www.westlaw.com/Link/Document/FullText?findType=Y&amp;serNum=1969111604&amp;pubNum=162&amp;originatingDoc=I3c57df24353911d9abe5ec754599669c&amp;refType=RP&amp;fi=co_pp_sp_162_458&amp;originationContext=document&amp;vr=3.0&amp;rs=cblt1.0&amp;transitionType=DocumentItem&amp;contextData=(sc.Default)#co_pp_sp_162_458"/>
  <Relationship Id="r42"
    Type="http://schemas.openxmlformats.org/officeDocument/2006/relationships/hyperlink"
    TargetMode="External"
    Target="http://www.westlaw.com/Link/Document/FullText?findType=Y&amp;serNum=1967110498&amp;pubNum=162&amp;originatingDoc=I3c57df24353911d9abe5ec754599669c&amp;refType=RP&amp;fi=co_pp_sp_162_580&amp;originationContext=document&amp;vr=3.0&amp;rs=cblt1.0&amp;transitionType=DocumentItem&amp;contextData=(sc.Default)#co_pp_sp_162_580"/>
  <Relationship Id="r43"
    Type="http://schemas.openxmlformats.org/officeDocument/2006/relationships/hyperlink"
    TargetMode="External"
    Target="https://1.next.westlaw.com/Link/RelatedInformation/Flag?documentGuid=If5e89a9333fb11d986b0aa9c82c164c0&amp;transitionType=InlineKeyCiteFlags&amp;originationContext=docHeaderFlag&amp;Rank=0&amp;ppcid=d0a481ffefde47029fdf1d944786e890&amp;contextData=(sc.Default)"/>
  <Relationship Id="r44"
    Type="http://schemas.openxmlformats.org/officeDocument/2006/relationships/hyperlink"
    TargetMode="External"
    Target="http://www.westlaw.com/Link/Document/FullText?findType=Y&amp;serNum=1967108611&amp;pubNum=162&amp;originatingDoc=I3c57df24353911d9abe5ec754599669c&amp;refType=RP&amp;fi=co_pp_sp_162_604&amp;originationContext=document&amp;vr=3.0&amp;rs=cblt1.0&amp;transitionType=DocumentItem&amp;contextData=(sc.Default)#co_pp_sp_162_604"/>
  <Relationship Id="r45"
    Type="http://schemas.openxmlformats.org/officeDocument/2006/relationships/hyperlink"
    TargetMode="External"
    Target="https://1.next.westlaw.com/Link/RelatedInformation/Flag?documentGuid=I88f994f233b711d986b0aa9c82c164c0&amp;transitionType=InlineKeyCiteFlags&amp;originationContext=docHeaderFlag&amp;Rank=0&amp;ppcid=d0a481ffefde47029fdf1d944786e890&amp;contextData=(sc.Default)"/>
  <Relationship Id="r46"
    Type="http://schemas.openxmlformats.org/officeDocument/2006/relationships/hyperlink"
    TargetMode="External"
    Target="http://www.westlaw.com/Link/Document/FullText?findType=Y&amp;serNum=1851001117&amp;pubNum=2389&amp;originatingDoc=I3c57df24353911d9abe5ec754599669c&amp;refType=RP&amp;originationContext=document&amp;vr=3.0&amp;rs=cblt1.0&amp;transitionType=DocumentItem&amp;contextData=(sc.Default)"/>
  <Relationship Id="r47"
    Type="http://schemas.openxmlformats.org/officeDocument/2006/relationships/hyperlink"
    TargetMode="External"
    Target="https://1.next.westlaw.com/Link/RelatedInformation/Flag?documentGuid=Ide930a68350411d9abe5ec754599669c&amp;transitionType=InlineKeyCiteFlags&amp;originationContext=docHeaderFlag&amp;Rank=0&amp;ppcid=d0a481ffefde47029fdf1d944786e890&amp;contextData=(sc.Default)"/>
  <Relationship Id="r48"
    Type="http://schemas.openxmlformats.org/officeDocument/2006/relationships/hyperlink"
    TargetMode="External"
    Target="http://www.westlaw.com/Link/Document/FullText?findType=Y&amp;serNum=1992081932&amp;pubNum=162&amp;originatingDoc=I3c57df24353911d9abe5ec754599669c&amp;refType=RP&amp;fi=co_pp_sp_162_1168&amp;originationContext=document&amp;vr=3.0&amp;rs=cblt1.0&amp;transitionType=DocumentItem&amp;contextData=(sc.Default)#co_pp_sp_162_1168"/>
  <Relationship Id="r49"
    Type="http://schemas.openxmlformats.org/officeDocument/2006/relationships/hyperlink"
    TargetMode="External"
    Target="https://1.next.westlaw.com/Link/RelatedInformation/Flag?documentGuid=Ic9165a6234c411d986b0aa9c82c164c0&amp;transitionType=InlineKeyCiteFlags&amp;originationContext=docHeaderFlag&amp;Rank=0&amp;ppcid=d0a481ffefde47029fdf1d944786e890&amp;contextData=(sc.Default)"/>
  <Relationship Id="r50"
    Type="http://schemas.openxmlformats.org/officeDocument/2006/relationships/hyperlink"
    TargetMode="External"
    Target="http://www.westlaw.com/Link/Document/FullText?findType=Y&amp;serNum=1989011486&amp;pubNum=162&amp;originatingDoc=I3c57df24353911d9abe5ec754599669c&amp;refType=RP&amp;fi=co_pp_sp_162_1251&amp;originationContext=document&amp;vr=3.0&amp;rs=cblt1.0&amp;transitionType=DocumentItem&amp;contextData=(sc.Default)#co_pp_sp_162_1251"/>
  <Relationship Id="r51"
    Type="http://schemas.openxmlformats.org/officeDocument/2006/relationships/hyperlink"
    TargetMode="External"
    Target="http://www.westlaw.com/Link/Document/FullText?findType=Y&amp;serNum=1971102880&amp;pubNum=162&amp;originatingDoc=I3c57df24353911d9abe5ec754599669c&amp;refType=RP&amp;fi=co_pp_sp_162_692&amp;originationContext=document&amp;vr=3.0&amp;rs=cblt1.0&amp;transitionType=DocumentItem&amp;contextData=(sc.Default)#co_pp_sp_162_692"/>
  <Relationship Id="r52"
    Type="http://schemas.openxmlformats.org/officeDocument/2006/relationships/hyperlink"
    TargetMode="External"
    Target="http://www.westlaw.com/Link/Document/FullText?findType=Y&amp;serNum=1972209532&amp;pubNum=162&amp;originatingDoc=I3c57df24353911d9abe5ec754599669c&amp;refType=RP&amp;originationContext=document&amp;vr=3.0&amp;rs=cblt1.0&amp;transitionType=DocumentItem&amp;contextData=(sc.Default)"/>
  <Relationship Id="r53"
    Type="http://schemas.openxmlformats.org/officeDocument/2006/relationships/hyperlink"
    TargetMode="External"
    Target="https://1.next.westlaw.com/Link/RelatedInformation/Flag?documentGuid=I8c4b17f334ca11d986b0aa9c82c164c0&amp;transitionType=InlineKeyCiteFlags&amp;originationContext=docHeaderFlag&amp;Rank=0&amp;ppcid=d0a481ffefde47029fdf1d944786e890&amp;contextData=(sc.Default)"/>
  <Relationship Id="r54"
    Type="http://schemas.openxmlformats.org/officeDocument/2006/relationships/hyperlink"
    TargetMode="External"
    Target="http://www.westlaw.com/Link/Document/FullText?findType=Y&amp;serNum=1984110454&amp;pubNum=162&amp;originatingDoc=I3c57df24353911d9abe5ec754599669c&amp;refType=RP&amp;fi=co_pp_sp_162_358&amp;originationContext=document&amp;vr=3.0&amp;rs=cblt1.0&amp;transitionType=DocumentItem&amp;contextData=(sc.Default)#co_pp_sp_162_358"/>
  <Relationship Id="r55"
    Type="http://schemas.openxmlformats.org/officeDocument/2006/relationships/hyperlink"
    TargetMode="External"
    Target="http://www.westlaw.com/Link/Document/FullText?findType=L&amp;pubNum=1000005&amp;cite=DESTT7S7205&amp;originatingDoc=I3c57df24353911d9abe5ec754599669c&amp;refType=LQ&amp;originationContext=document&amp;vr=3.0&amp;rs=cblt1.0&amp;transitionType=DocumentItem&amp;contextData=(sc.Default)"/>
  <Relationship Id="r56"
    Type="http://schemas.openxmlformats.org/officeDocument/2006/relationships/hyperlink"
    TargetMode="External"
    Target="http://www.westlaw.com/Link/Document/FullText?findType=L&amp;pubNum=1000005&amp;cite=DESTT7S7210&amp;originatingDoc=I3c57df24353911d9abe5ec754599669c&amp;refType=LQ&amp;originationContext=document&amp;vr=3.0&amp;rs=cblt1.0&amp;transitionType=DocumentItem&amp;contextData=(sc.Default)"/>
  <Relationship Id="r57"
    Type="http://schemas.openxmlformats.org/officeDocument/2006/relationships/hyperlink"
    TargetMode="External"
    Target="http://www.westlaw.com/Link/Document/FullText?findType=L&amp;pubNum=1000005&amp;cite=DESTT7S6008&amp;originatingDoc=I3c57df24353911d9abe5ec754599669c&amp;refType=LQ&amp;originationContext=document&amp;vr=3.0&amp;rs=cblt1.0&amp;transitionType=DocumentItem&amp;contextData=(sc.Default)"/>
  <Relationship Id="r58"
    Type="http://schemas.openxmlformats.org/officeDocument/2006/relationships/hyperlink"
    TargetMode="External"
    Target="http://www.westlaw.com/Link/Document/FullText?findType=L&amp;pubNum=1000005&amp;cite=DESTT7S6009&amp;originatingDoc=I3c57df24353911d9abe5ec754599669c&amp;refType=LQ&amp;originationContext=document&amp;vr=3.0&amp;rs=cblt1.0&amp;transitionType=DocumentItem&amp;contextData=(sc.Default)"/>
  <Relationship Id="r59"
    Type="http://schemas.openxmlformats.org/officeDocument/2006/relationships/hyperlink"
    TargetMode="External"
    Target="https://1.next.westlaw.com/Link/RelatedInformation/Flag?documentGuid=I88f994f233b711d986b0aa9c82c164c0&amp;transitionType=InlineKeyCiteFlags&amp;originationContext=docHeaderFlag&amp;Rank=0&amp;ppcid=d0a481ffefde47029fdf1d944786e890&amp;contextData=(sc.Default)"/>
  <Relationship Id="r60"
    Type="http://schemas.openxmlformats.org/officeDocument/2006/relationships/hyperlink"
    TargetMode="External"
    Target="http://www.westlaw.com/Link/Document/FullText?findType=Y&amp;serNum=1851001117&amp;pubNum=2389&amp;originatingDoc=I3c57df24353911d9abe5ec754599669c&amp;refType=RP&amp;originationContext=document&amp;vr=3.0&amp;rs=cblt1.0&amp;transitionType=DocumentItem&amp;contextData=(sc.Default)"/>
  <Relationship Id="r61"
    Type="http://schemas.openxmlformats.org/officeDocument/2006/relationships/hyperlink"
    TargetMode="External"
    Target="https://1.next.westlaw.com/Link/RelatedInformation/Flag?documentGuid=I9a28802c346f11d98b61a35269fc5f88&amp;transitionType=InlineKeyCiteFlags&amp;originationContext=docHeaderFlag&amp;Rank=0&amp;ppcid=d0a481ffefde47029fdf1d944786e890&amp;contextData=(sc.Default)"/>
  <Relationship Id="r62"
    Type="http://schemas.openxmlformats.org/officeDocument/2006/relationships/hyperlink"
    TargetMode="External"
    Target="http://www.westlaw.com/Link/Document/FullText?findType=Y&amp;serNum=1982139346&amp;pubNum=162&amp;originatingDoc=I3c57df24353911d9abe5ec754599669c&amp;refType=RP&amp;fi=co_pp_sp_162_252&amp;originationContext=document&amp;vr=3.0&amp;rs=cblt1.0&amp;transitionType=DocumentItem&amp;contextData=(sc.Default)#co_pp_sp_162_252"/>
  <Relationship Id="r63"
    Type="http://schemas.openxmlformats.org/officeDocument/2006/relationships/hyperlink"
    TargetMode="External"
    Target="http://www.westlaw.com/Link/Document/FullText?findType=L&amp;pubNum=1000005&amp;cite=DESTT7S6810&amp;originatingDoc=I3c57df24353911d9abe5ec754599669c&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3c57df24353911d9abe5ec754599669c_Targe"/>
      <w:bookmarkEnd w:id="1"/>
    </w:p>
    <w:bookmarkEnd w:id="0"/>
    <w:p>
      <w:pPr>
        <w:spacing w:before="0" w:after="0" w:line="275" w:lineRule="atLeast"/>
        <w:jc w:val="center"/>
      </w:pPr>
      <w:r>
        <w:rPr>
          <w:rFonts w:ascii="georgia" w:hAnsi="georgia"/>
          <w:color w:val="000000"/>
          <w:sz w:val="20"/>
        </w:rPr>
        <w:t>1994 WL 89804</w:t>
      </w:r>
    </w:p>
    <w:p>
      <w:pPr>
        <w:spacing w:before="0" w:after="0" w:line="275" w:lineRule="atLeast"/>
        <w:jc w:val="center"/>
      </w:pPr>
      <w:r>
        <w:rPr>
          <w:rFonts w:ascii="georgia" w:hAnsi="georgia"/>
          <w:color w:val="000000"/>
          <w:sz w:val="20"/>
        </w:rPr>
        <w:t>Only the Westlaw citation is currently available.</w:t>
      </w:r>
    </w:p>
    <w:p>
      <w:pPr>
        <w:spacing w:before="200" w:after="0" w:line="275" w:lineRule="atLeast"/>
        <w:jc w:val="center"/>
      </w:pPr>
      <w:r>
        <w:rPr>
          <w:rFonts w:ascii="georgia" w:hAnsi="georgia"/>
          <w:color w:val="000000"/>
          <w:sz w:val="20"/>
        </w:rPr>
        <w:t>UNPUBLISHED OPINION. CHECK COURT RULES BEFORE CITING.</w:t>
      </w:r>
    </w:p>
    <w:p>
      <w:pPr>
        <w:spacing w:before="200" w:after="0" w:line="275" w:lineRule="atLeast"/>
        <w:jc w:val="center"/>
      </w:pPr>
      <w:r>
        <w:rPr>
          <w:rFonts w:ascii="georgia" w:hAnsi="georgia"/>
          <w:color w:val="000000"/>
          <w:sz w:val="20"/>
        </w:rPr>
        <w:t>Superior Court of Delaware, Sussex County.</w:t>
      </w:r>
    </w:p>
    <w:p>
      <w:pPr>
        <w:spacing w:before="200" w:after="0" w:line="300" w:lineRule="atLeast"/>
        <w:ind w:left="100" w:right="100" w:firstLine="0"/>
        <w:jc w:val="center"/>
      </w:pPr>
      <w:r>
        <w:rPr>
          <w:rFonts w:ascii="georgia" w:hAnsi="georgia"/>
          <w:color w:val="252525"/>
          <w:sz w:val="20"/>
        </w:rPr>
        <w:t>John W. GROVES,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SECRETARY OF the DEPARTMENT OF NATURAL RESOURCES AND ENVIRONMENTAL CONTROL, and the Environmental Appeals Board of the State of Delaware, and Victorine Mertes, Appellees.</w:t>
      </w:r>
    </w:p>
    <w:p>
      <w:pPr>
        <w:pBdr>
          <w:left w:val="none" w:space="8"/>
        </w:pBdr>
        <w:spacing w:before="200" w:after="0" w:line="275" w:lineRule="atLeast"/>
        <w:ind w:left="150" w:right="0" w:firstLine="0"/>
        <w:jc w:val="center"/>
      </w:pPr>
      <w:r>
        <w:rPr>
          <w:rFonts w:ascii="georgia" w:hAnsi="georgia"/>
          <w:color w:val="000000"/>
          <w:sz w:val="20"/>
        </w:rPr>
        <w:t>C.A. No. 92A-10-003.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Submitted: Nov. 5, 1993.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Feb. 8, 1994.</w:t>
      </w:r>
    </w:p>
    <w:bookmarkStart w:id="2" w:name="co_attorneysAndLawFirms_1"/>
    <w:p>
      <w:pPr>
        <w:keepNext/>
        <w:keepLines/>
        <w:spacing w:before="400" w:after="0" w:line="275" w:lineRule="atLeast"/>
        <w:jc w:val="both"/>
      </w:pPr>
      <w:r>
        <w:rPr>
          <w:rFonts w:ascii="Times New Roman" w:hAnsi="Times New Roman"/>
          <w:b/>
          <w:color w:val="212121"/>
          <w:sz w:val="20"/>
        </w:rPr>
        <w:t>Attorneys and Law Firms</w:t>
      </w:r>
    </w:p>
    <w:bookmarkEnd w:id="2"/>
    <w:p>
      <w:pPr>
        <w:spacing w:before="200" w:after="0" w:line="275" w:lineRule="atLeast"/>
        <w:jc w:val="both"/>
      </w:pPr>
      <w:hyperlink r:id="r7">
        <w:r>
          <w:rPr>
            <w:rFonts w:ascii="Times New Roman" w:hAnsi="Times New Roman"/>
            <w:color w:val="000000"/>
            <w:sz w:val="20"/>
          </w:rPr>
          <w:t>John A. Sergovic</w:t>
        </w:r>
      </w:hyperlink>
      <w:r>
        <w:rPr>
          <w:rFonts w:ascii="Times New Roman" w:hAnsi="Times New Roman"/>
          <w:color w:val="000000"/>
          <w:sz w:val="20"/>
        </w:rPr>
        <w:t>, Sergovic &amp; Ellis, Georgetown, for appellant.</w:t>
      </w:r>
    </w:p>
    <w:p>
      <w:pPr>
        <w:spacing w:before="200" w:after="0" w:line="275" w:lineRule="atLeast"/>
        <w:jc w:val="both"/>
      </w:pPr>
      <w:r>
        <w:rPr>
          <w:rFonts w:ascii="Times New Roman" w:hAnsi="Times New Roman"/>
          <w:color w:val="000000"/>
          <w:sz w:val="20"/>
        </w:rPr>
        <w:t>Victorine Mertes, pro se.</w:t>
      </w:r>
    </w:p>
    <w:p>
      <w:pPr>
        <w:spacing w:before="200" w:after="0" w:line="275" w:lineRule="atLeast"/>
        <w:jc w:val="both"/>
      </w:pPr>
      <w:hyperlink r:id="r8">
        <w:r>
          <w:rPr>
            <w:rFonts w:ascii="Times New Roman" w:hAnsi="Times New Roman"/>
            <w:color w:val="000000"/>
            <w:sz w:val="20"/>
          </w:rPr>
          <w:t>Jeanne L. Langdon</w:t>
        </w:r>
      </w:hyperlink>
      <w:r>
        <w:rPr>
          <w:rFonts w:ascii="Times New Roman" w:hAnsi="Times New Roman"/>
          <w:color w:val="000000"/>
          <w:sz w:val="20"/>
        </w:rPr>
        <w:t>, Dept. of Natural Resources and Environmental Control, Dover, for Secretary of the Department of Natural Resources and Environmental Control.</w:t>
      </w:r>
    </w:p>
    <w:p>
      <w:pPr>
        <w:spacing w:before="200" w:after="0" w:line="275" w:lineRule="atLeast"/>
        <w:jc w:val="both"/>
      </w:pPr>
      <w:r>
        <w:rPr>
          <w:rFonts w:ascii="Times New Roman" w:hAnsi="Times New Roman"/>
          <w:color w:val="000000"/>
          <w:sz w:val="20"/>
        </w:rPr>
        <w:t>Steven C. Blackmore, Dept. of Justice, Willmington, for The Environmental Appeals Bd. of the State of Delaware.</w:t>
      </w:r>
    </w:p>
    <w:bookmarkStart w:id="3" w:name="co_anchor_I4cf375a697c811de9b8c85033233"/>
    <w:bookmarkStart w:id="4" w:name="co_anchor_I4cf375a897c811de9b8c85033233"/>
    <w:bookmarkStart w:id="5" w:name="co_anchor_I4cf375a897c811de9b8c850332"/>
    <w:p>
      <w:pPr>
        <w:spacing w:before="600" w:after="0" w:line="275" w:lineRule="atLeast"/>
        <w:jc w:val="center"/>
      </w:pPr>
      <w:r>
        <w:rPr>
          <w:rFonts w:ascii="Times New Roman" w:hAnsi="Times New Roman"/>
          <w:color w:val="000000"/>
          <w:sz w:val="20"/>
        </w:rPr>
        <w:t>MEMORANDUM OPINION</w:t>
      </w:r>
    </w:p>
    <w:bookmarkEnd w:id="5"/>
    <w:bookmarkEnd w:id="4"/>
    <w:bookmarkEnd w:id="3"/>
    <w:p>
      <w:pPr>
        <w:spacing w:before="400" w:after="0" w:line="275" w:lineRule="atLeast"/>
        <w:jc w:val="both"/>
      </w:pPr>
      <w:hyperlink r:id="r9">
        <w:r>
          <w:rPr>
            <w:rFonts w:ascii="Times New Roman" w:hAnsi="Times New Roman"/>
            <w:color w:val="000000"/>
            <w:sz w:val="20"/>
          </w:rPr>
          <w:t>LEE</w:t>
        </w:r>
      </w:hyperlink>
      <w:r>
        <w:rPr>
          <w:rFonts w:ascii="Times New Roman" w:hAnsi="Times New Roman"/>
          <w:color w:val="000000"/>
          <w:sz w:val="20"/>
        </w:rPr>
        <w:t>, Judge.</w:t>
      </w:r>
    </w:p>
    <w:p>
      <w:pPr>
        <w:spacing w:before="200" w:after="0" w:line="275" w:lineRule="atLeast"/>
        <w:jc w:val="both"/>
      </w:pPr>
      <w:bookmarkStart w:id="6" w:name="co_pp_sp_999_1_1"/>
      <w:r>
        <w:rPr>
          <w:rFonts w:ascii="Times New Roman" w:hAnsi="Times New Roman"/>
          <w:b/>
          <w:color w:val="000000"/>
          <w:sz w:val="20"/>
        </w:rPr>
        <w:t>*1</w:t>
      </w:r>
      <w:bookmarkEnd w:id="6"/>
      <w:r>
        <w:rPr>
          <w:rFonts w:ascii="Times New Roman" w:hAnsi="Times New Roman"/>
          <w:color w:val="000000"/>
          <w:sz w:val="20"/>
        </w:rPr>
        <w:t xml:space="preserve"> Appellant John W. Groves has appealed a decision of the Environmental Appeals Board (“Board”) affirming a decision of the Secretary of the Department of Natural Resources and Environmental Control (“DNREC” or “Department”) issuing a permit to Victorine S. Mertes to install rip-rap revetment on her bayfront property. This is the Court's decision on the appealed issues.</w:t>
      </w:r>
    </w:p>
    <w:p>
      <w:pPr>
        <w:spacing w:before="0" w:after="0" w:line="275" w:lineRule="atLeast"/>
        <w:jc w:val="both"/>
      </w:pPr>
      <w:r>
        <w:rPr>
          <w:rFonts w:ascii="Times New Roman" w:hAnsi="Times New Roman"/>
          <w:color w:val="000000"/>
          <w:sz w:val="20"/>
        </w:rPr>
        <w:t> </w:t>
      </w:r>
    </w:p>
    <w:bookmarkStart w:id="7" w:name="co_anchor_I4cf375a997c811de9b8c85033233"/>
    <w:bookmarkStart w:id="8" w:name="co_anchor_I4cf375a997c811de9b8c850332"/>
    <w:p>
      <w:pPr>
        <w:spacing w:before="600" w:after="0" w:line="275" w:lineRule="atLeast"/>
        <w:jc w:val="center"/>
      </w:pPr>
      <w:r>
        <w:rPr>
          <w:rFonts w:ascii="Times New Roman" w:hAnsi="Times New Roman"/>
          <w:color w:val="000000"/>
          <w:sz w:val="20"/>
        </w:rPr>
        <w:t>FACTS</w:t>
      </w:r>
    </w:p>
    <w:bookmarkEnd w:id="8"/>
    <w:bookmarkEnd w:id="7"/>
    <w:p>
      <w:pPr>
        <w:spacing w:before="200" w:after="0" w:line="275" w:lineRule="atLeast"/>
        <w:jc w:val="both"/>
      </w:pPr>
      <w:r>
        <w:rPr>
          <w:rFonts w:ascii="Times New Roman" w:hAnsi="Times New Roman"/>
          <w:color w:val="000000"/>
          <w:sz w:val="20"/>
        </w:rPr>
        <w:t xml:space="preserve">Ms. Mertes owns property located at 109 Sea Gull Drive, Sussex County. Mr. Groves owns property located at 106 Sea Gull Drive. Ms. Mertes' property is on Rehoboth Bay at Indian Beach. Mr. Groves' property is located behind the waterfront lot adjoining Ms. Mertes' lot to the south. Running along the southern border of Ms. Mertes' property and dividing her property from that of her neighbor to the south is Sea Gull Road, a twelve foot wide private road. This road runs to the edge of the beach of Rehoboth Bay. </w:t>
      </w:r>
      <w:r>
        <w:rPr>
          <w:rFonts w:ascii="Times New Roman" w:hAnsi="Times New Roman"/>
          <w:i/>
          <w:color w:val="000000"/>
          <w:sz w:val="20"/>
        </w:rPr>
        <w:t>Tindall v. Corbi,</w:t>
      </w:r>
      <w:r>
        <w:rPr>
          <w:rFonts w:ascii="Times New Roman" w:hAnsi="Times New Roman"/>
          <w:color w:val="000000"/>
          <w:sz w:val="20"/>
        </w:rPr>
        <w:t xml:space="preserve"> Del.Ch., C.A. No. 104, Seitz, Ch. (September 22, 1958)(Memorandum Opinion) at 5. Mr. Groves, and other landowners along Sea Gull Drive, have a twelve foot wide permanent easement extending to the waters of the Rehoboth Bay. </w:t>
      </w:r>
      <w:r>
        <w:rPr>
          <w:rFonts w:ascii="Times New Roman" w:hAnsi="Times New Roman"/>
          <w:i/>
          <w:color w:val="000000"/>
          <w:sz w:val="20"/>
        </w:rPr>
        <w:t>Tindall v. Corbi,</w:t>
      </w:r>
      <w:r>
        <w:rPr>
          <w:rFonts w:ascii="Times New Roman" w:hAnsi="Times New Roman"/>
          <w:color w:val="000000"/>
          <w:sz w:val="20"/>
        </w:rPr>
        <w:t xml:space="preserve"> Del.Ch., C.A. No. 104, Seitz, Ch. (January 9, 1959) (Order). Ms. Mertes may not obstruct this easement.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Ms. Mertes, along with her northerly neighbor, determined to put rip-rap on their properties. She and this neighbor contracted with Heather Construction Company to accomplish this project. Because this rip-rap was to be placed on tidal lands, Chapter 72 of Title 7, </w:t>
      </w:r>
      <w:r>
        <w:rPr>
          <w:rFonts w:ascii="Times New Roman" w:hAnsi="Times New Roman"/>
          <w:i/>
          <w:color w:val="000000"/>
          <w:sz w:val="20"/>
        </w:rPr>
        <w:t>Del.C</w:t>
      </w:r>
      <w:r>
        <w:rPr>
          <w:rFonts w:ascii="Times New Roman" w:hAnsi="Times New Roman"/>
          <w:i/>
          <w:color w:val="000000"/>
          <w:sz w:val="20"/>
        </w:rPr>
        <w:t>.</w:t>
      </w:r>
      <w:r>
        <w:rPr>
          <w:rFonts w:ascii="Times New Roman" w:hAnsi="Times New Roman"/>
          <w:color w:val="000000"/>
          <w:sz w:val="20"/>
        </w:rPr>
        <w:t xml:space="preserve"> came into play, and a permit from the DNREC was required. </w:t>
      </w:r>
      <w:hyperlink r:id="r10">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7205(a)</w:t>
        </w:r>
      </w:hyperlink>
      <w:r>
        <w:rPr>
          <w:rFonts w:ascii="Times New Roman" w:hAnsi="Times New Roman"/>
          <w:color w:val="000000"/>
          <w:sz w:val="20"/>
        </w:rPr>
        <w:t>.</w:t>
      </w:r>
      <w:bookmarkStart w:id="9" w:name="co_fnRef_B00111994069309_ID0EOGAC_1"/>
      <w:hyperlink w:anchor="co_footnote_B00111994069309_1">
        <w:r>
          <w:rPr>
            <w:rFonts w:ascii="Times New Roman" w:hAnsi="Times New Roman"/>
            <w:color w:val="000000"/>
            <w:sz w:val="16"/>
            <w:vertAlign w:val="superscript"/>
          </w:rPr>
          <w:t>1</w:t>
        </w:r>
      </w:hyperlink>
      <w:bookmarkEnd w:id="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Heather Construction Company filled out the permit application and submitted it to the DNREC in December, 1991. The Secretary advertised the application pursuant to </w:t>
      </w:r>
      <w:hyperlink r:id="r11">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7207(d)</w:t>
        </w:r>
      </w:hyperlink>
      <w:r>
        <w:rPr>
          <w:rFonts w:ascii="Times New Roman" w:hAnsi="Times New Roman"/>
          <w:color w:val="000000"/>
          <w:sz w:val="20"/>
        </w:rPr>
        <w:t>, which provides:</w:t>
      </w:r>
    </w:p>
    <w:p>
      <w:pPr>
        <w:spacing w:before="200" w:after="0" w:line="275" w:lineRule="atLeast"/>
        <w:ind w:left="200" w:right="0" w:firstLine="0"/>
        <w:jc w:val="both"/>
      </w:pPr>
      <w:r>
        <w:rPr>
          <w:rFonts w:ascii="Times New Roman" w:hAnsi="Times New Roman"/>
          <w:color w:val="000000"/>
          <w:sz w:val="20"/>
        </w:rPr>
        <w:t>“Upon receipt of an application in proper form, the Secretary shall advertise in a daily newspaper of statewide circulation and in a newspaper of general circulation in the county in which the activity is proposed:</w:t>
      </w:r>
    </w:p>
    <w:p>
      <w:pPr>
        <w:spacing w:before="200" w:after="0" w:line="275" w:lineRule="atLeast"/>
        <w:ind w:left="200" w:right="0" w:firstLine="0"/>
        <w:jc w:val="both"/>
      </w:pPr>
      <w:r>
        <w:rPr>
          <w:rFonts w:ascii="Times New Roman" w:hAnsi="Times New Roman"/>
          <w:color w:val="000000"/>
          <w:sz w:val="20"/>
        </w:rPr>
        <w:t>(1) The fact that the application has been received;</w:t>
      </w:r>
    </w:p>
    <w:p>
      <w:pPr>
        <w:spacing w:before="200" w:after="0" w:line="275" w:lineRule="atLeast"/>
        <w:ind w:left="200" w:right="0" w:firstLine="0"/>
        <w:jc w:val="both"/>
      </w:pPr>
      <w:r>
        <w:rPr>
          <w:rFonts w:ascii="Times New Roman" w:hAnsi="Times New Roman"/>
          <w:color w:val="000000"/>
          <w:sz w:val="20"/>
        </w:rPr>
        <w:t>(2) A brief description of the nature of the application; and</w:t>
      </w:r>
    </w:p>
    <w:p>
      <w:pPr>
        <w:spacing w:before="200" w:after="0" w:line="275" w:lineRule="atLeast"/>
        <w:ind w:left="200" w:right="0" w:firstLine="0"/>
        <w:jc w:val="both"/>
      </w:pPr>
      <w:r>
        <w:rPr>
          <w:rFonts w:ascii="Times New Roman" w:hAnsi="Times New Roman"/>
          <w:color w:val="000000"/>
          <w:sz w:val="20"/>
        </w:rPr>
        <w:t>(3) A statement that a public hearing may be requested by any interested person who offers a meritorious objection to the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At the time of the application, </w:t>
      </w:r>
      <w:hyperlink r:id="r12">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7208(a)</w:t>
        </w:r>
      </w:hyperlink>
      <w:r>
        <w:rPr>
          <w:rFonts w:ascii="Times New Roman" w:hAnsi="Times New Roman"/>
          <w:color w:val="000000"/>
          <w:sz w:val="20"/>
        </w:rPr>
        <w:t xml:space="preserve"> provided:</w:t>
      </w:r>
    </w:p>
    <w:p>
      <w:pPr>
        <w:spacing w:before="200" w:after="0" w:line="275" w:lineRule="atLeast"/>
        <w:ind w:left="200" w:right="0" w:firstLine="0"/>
        <w:jc w:val="both"/>
      </w:pPr>
      <w:r>
        <w:rPr>
          <w:rFonts w:ascii="Times New Roman" w:hAnsi="Times New Roman"/>
          <w:color w:val="000000"/>
          <w:sz w:val="20"/>
        </w:rPr>
        <w:t>“A public hearing shall be held:</w:t>
      </w:r>
    </w:p>
    <w:p>
      <w:pPr>
        <w:spacing w:before="200" w:after="0" w:line="275" w:lineRule="atLeast"/>
        <w:ind w:left="200" w:right="0" w:firstLine="0"/>
        <w:jc w:val="both"/>
      </w:pPr>
      <w:r>
        <w:rPr>
          <w:rFonts w:ascii="Times New Roman" w:hAnsi="Times New Roman"/>
          <w:color w:val="000000"/>
          <w:sz w:val="20"/>
        </w:rPr>
        <w:t>(1) If a permit, grant or lease for a period of time in excess of 10 years is sought; or</w:t>
      </w:r>
    </w:p>
    <w:p>
      <w:pPr>
        <w:spacing w:before="200" w:after="0" w:line="275" w:lineRule="atLeast"/>
        <w:ind w:left="200" w:right="0" w:firstLine="0"/>
        <w:jc w:val="both"/>
      </w:pPr>
      <w:r>
        <w:rPr>
          <w:rFonts w:ascii="Times New Roman" w:hAnsi="Times New Roman"/>
          <w:color w:val="000000"/>
          <w:sz w:val="20"/>
        </w:rPr>
        <w:t>(2) If the Secretary determines that a public hearing is in the public interest; or</w:t>
      </w:r>
    </w:p>
    <w:p>
      <w:pPr>
        <w:spacing w:before="200" w:after="0" w:line="275" w:lineRule="atLeast"/>
        <w:ind w:left="200" w:right="0" w:firstLine="0"/>
        <w:jc w:val="both"/>
      </w:pPr>
      <w:r>
        <w:rPr>
          <w:rFonts w:ascii="Times New Roman" w:hAnsi="Times New Roman"/>
          <w:color w:val="000000"/>
          <w:sz w:val="20"/>
        </w:rPr>
        <w:t>(3) If a written meritorious objection to the application is received within 20 days of the advertisement of the public notice for the application.</w:t>
      </w:r>
      <w:r>
        <w:rPr>
          <w:rFonts w:ascii="Times New Roman" w:hAnsi="Times New Roman"/>
          <w:color w:val="000000"/>
          <w:sz w:val="20"/>
        </w:rPr>
        <w:t xml:space="preserve"> A public hearing request shall be deemed meritorious if it exhibits a familiarity with the application and provides a reasoned statement of the action's probable impact.”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Also at the time of the application, the DNREC read </w:t>
      </w:r>
      <w:hyperlink r:id="r13">
        <w:r>
          <w:rPr>
            <w:rFonts w:ascii="Times New Roman" w:hAnsi="Times New Roman"/>
            <w:color w:val="000000"/>
            <w:sz w:val="20"/>
          </w:rPr>
          <w:t xml:space="preserve">§ 7208(a)(1) of 7 </w:t>
        </w:r>
        <w:r>
          <w:rPr>
            <w:rFonts w:ascii="Times New Roman" w:hAnsi="Times New Roman"/>
            <w:i/>
            <w:color w:val="000000"/>
            <w:sz w:val="20"/>
          </w:rPr>
          <w:t>Del.C</w:t>
        </w:r>
      </w:hyperlink>
      <w:r>
        <w:rPr>
          <w:rFonts w:ascii="Times New Roman" w:hAnsi="Times New Roman"/>
          <w:i/>
          <w:color w:val="000000"/>
          <w:sz w:val="20"/>
        </w:rPr>
        <w:t>.</w:t>
      </w:r>
      <w:r>
        <w:rPr>
          <w:rFonts w:ascii="Times New Roman" w:hAnsi="Times New Roman"/>
          <w:color w:val="000000"/>
          <w:sz w:val="20"/>
        </w:rPr>
        <w:t xml:space="preserve"> to require a public hearing only if the permit was to be valid for a period of greater than ten years. The permit it issued here was valid for a period of three years only. Accordingly, the DNREC did not hold a public hearing before issuing the permit.</w:t>
      </w:r>
      <w:bookmarkStart w:id="10" w:name="co_fnRef_B00221994069309_ID0EAMAC_1"/>
      <w:hyperlink w:anchor="co_footnote_B00221994069309_1">
        <w:r>
          <w:rPr>
            <w:rFonts w:ascii="Times New Roman" w:hAnsi="Times New Roman"/>
            <w:color w:val="000000"/>
            <w:sz w:val="16"/>
            <w:vertAlign w:val="superscript"/>
          </w:rPr>
          <w:t>2</w:t>
        </w:r>
      </w:hyperlink>
      <w:bookmarkEnd w:id="10"/>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 w:name="co_pp_sp_999_2_1"/>
      <w:r>
        <w:rPr>
          <w:rFonts w:ascii="Times New Roman" w:hAnsi="Times New Roman"/>
          <w:b/>
          <w:color w:val="000000"/>
          <w:sz w:val="20"/>
        </w:rPr>
        <w:t>*2</w:t>
      </w:r>
      <w:bookmarkEnd w:id="11"/>
      <w:r>
        <w:rPr>
          <w:rFonts w:ascii="Times New Roman" w:hAnsi="Times New Roman"/>
          <w:color w:val="000000"/>
          <w:sz w:val="20"/>
        </w:rPr>
        <w:t xml:space="preserve"> This is the appropriate point to divert and note that on June 25, 1993, while the appeal in this matter was pending, </w:t>
      </w:r>
      <w:hyperlink r:id="r14">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7208(a)</w:t>
        </w:r>
      </w:hyperlink>
      <w:r>
        <w:rPr>
          <w:rFonts w:ascii="Times New Roman" w:hAnsi="Times New Roman"/>
          <w:color w:val="000000"/>
          <w:sz w:val="20"/>
        </w:rPr>
        <w:t xml:space="preserve"> was amended to provide:</w:t>
      </w:r>
    </w:p>
    <w:p>
      <w:pPr>
        <w:spacing w:before="200" w:after="0" w:line="275" w:lineRule="atLeast"/>
        <w:ind w:left="200" w:right="0" w:firstLine="0"/>
        <w:jc w:val="both"/>
      </w:pPr>
      <w:r>
        <w:rPr>
          <w:rFonts w:ascii="Times New Roman" w:hAnsi="Times New Roman"/>
          <w:color w:val="000000"/>
          <w:sz w:val="20"/>
        </w:rPr>
        <w:t>“A public hearing shall be held:</w:t>
      </w:r>
    </w:p>
    <w:p>
      <w:pPr>
        <w:spacing w:before="200" w:after="0" w:line="275" w:lineRule="atLeast"/>
        <w:ind w:left="200" w:right="0" w:firstLine="0"/>
        <w:jc w:val="both"/>
      </w:pPr>
      <w:r>
        <w:rPr>
          <w:rFonts w:ascii="Times New Roman" w:hAnsi="Times New Roman"/>
          <w:color w:val="000000"/>
          <w:sz w:val="20"/>
        </w:rPr>
        <w:t>(1) If a grant or lease for a period of time in excess of 10 years is sought; 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synopsis of the bill to this amendment provides:</w:t>
      </w:r>
    </w:p>
    <w:p>
      <w:pPr>
        <w:spacing w:before="200" w:after="0" w:line="275" w:lineRule="atLeast"/>
        <w:ind w:left="480" w:right="480" w:firstLine="0"/>
        <w:jc w:val="both"/>
      </w:pPr>
      <w:r>
        <w:rPr>
          <w:rFonts w:ascii="Times New Roman" w:hAnsi="Times New Roman"/>
          <w:color w:val="000000"/>
          <w:sz w:val="20"/>
        </w:rPr>
        <w:t>“This bill would eliminate the requirement that public hearings be held for permits to perform activities upon subaqueous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As noted earlier, the application was advertised according to law. No one objected to the application. Consequently, no hearing was held.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April 3, 1992, the Secretary issued the permit.</w:t>
      </w:r>
      <w:bookmarkStart w:id="12" w:name="co_fnRef_B00331994069309_ID0EVPAC_1"/>
      <w:hyperlink w:anchor="co_footnote_B00331994069309_1">
        <w:r>
          <w:rPr>
            <w:rFonts w:ascii="Times New Roman" w:hAnsi="Times New Roman"/>
            <w:color w:val="000000"/>
            <w:sz w:val="16"/>
            <w:vertAlign w:val="superscript"/>
          </w:rPr>
          <w:t>3</w:t>
        </w:r>
      </w:hyperlink>
      <w:bookmarkEnd w:id="12"/>
      <w:r>
        <w:rPr>
          <w:rFonts w:ascii="Times New Roman" w:hAnsi="Times New Roman"/>
          <w:color w:val="000000"/>
          <w:sz w:val="20"/>
        </w:rPr>
        <w:t xml:space="preserve"> Before the appeal period ran, Heather Construction Company began construction of the rip-rap revetment on Ms. Mertes' property. DNREC notified Ms. Mertes she was proceeding at her own risk in light of the fact the appeal period had not run. The project was completed.</w:t>
      </w:r>
      <w:bookmarkStart w:id="13" w:name="co_fnRef_B00441994069309_ID0EFAAE_1"/>
      <w:hyperlink w:anchor="co_footnote_B00441994069309_1">
        <w:r>
          <w:rPr>
            <w:rFonts w:ascii="Times New Roman" w:hAnsi="Times New Roman"/>
            <w:color w:val="000000"/>
            <w:sz w:val="16"/>
            <w:vertAlign w:val="superscript"/>
          </w:rPr>
          <w:t>4</w:t>
        </w:r>
      </w:hyperlink>
      <w:bookmarkEnd w:id="13"/>
      <w:r>
        <w:rPr>
          <w:rFonts w:ascii="Times New Roman" w:hAnsi="Times New Roman"/>
          <w:color w:val="000000"/>
          <w:sz w:val="20"/>
        </w:rPr>
        <w:t xml:space="preserve"> It covered an area between the mean high tide, or water, line and the mean low tide, or water, line. The only time any beach was exposed was at low tide and then, only a minimal amount was exposed. It did not cover any of the twelve foot wide easement mentioned earlier.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It was only when the construction began that Mr. Groves actually became aware of the permit. He then appealed the granting of the permit to the Board pursuant to </w:t>
      </w:r>
      <w:hyperlink r:id="r15">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7210</w:t>
        </w:r>
      </w:hyperlink>
      <w:r>
        <w:rPr>
          <w:rFonts w:ascii="Times New Roman" w:hAnsi="Times New Roman"/>
          <w:color w:val="000000"/>
          <w:sz w:val="20"/>
        </w:rPr>
        <w:t>.</w:t>
      </w:r>
      <w:bookmarkStart w:id="14" w:name="co_fnRef_B00551994069309_ID0ELBAE_1"/>
      <w:hyperlink w:anchor="co_footnote_B00551994069309_1">
        <w:r>
          <w:rPr>
            <w:rFonts w:ascii="Times New Roman" w:hAnsi="Times New Roman"/>
            <w:color w:val="000000"/>
            <w:sz w:val="16"/>
            <w:vertAlign w:val="superscript"/>
          </w:rPr>
          <w:t>5</w:t>
        </w:r>
      </w:hyperlink>
      <w:bookmarkEnd w:id="1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Board held a hearing on June 30, 1992 and July 14, 1992 where it listened to extensive testimony from numerous witnesses and received a multitude of exhibits into evidence. Participating in this hearing were Mr. Groves by way of counsel, Ms. Mertes and her counsel, and counsel to DNREC.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Board issued its written decision on September 17, 1992. It made the following findings pertinent to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 Groves and other landowners living on Sea Gull Drive have an easement right entitling them to access on Sea Gull Drive to Rehoboth Bay. Groves and other neighbors have used the beach at the end of Sea Gull Drive as well as the beach on Ms. Mertes' property for walking, boating, fishing, crabbing access and other recreational activities. However, this recreational activity is limited and occasional. Ms. Mertes owns the beach to the mean low water line.</w:t>
      </w:r>
      <w:bookmarkStart w:id="15" w:name="co_fnRef_B00661994069309_ID0EEDAE_1"/>
      <w:hyperlink w:anchor="co_footnote_B00661994069309_1">
        <w:r>
          <w:rPr>
            <w:rFonts w:ascii="Times New Roman" w:hAnsi="Times New Roman"/>
            <w:color w:val="000000"/>
            <w:sz w:val="16"/>
            <w:vertAlign w:val="superscript"/>
          </w:rPr>
          <w:t>6</w:t>
        </w:r>
      </w:hyperlink>
      <w:bookmarkEnd w:id="1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Despite conflicting evidence between Mr. Groves' witnesses and those of the DNREC and Ms. Mertes, sufficient evidence established that erosion existed on Ms. Mertes'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 DNREC evaluated the public interest before granting the permit, as evidenced by the conditions attached to the permit and by the testimony of a DNREC representative. Thereafter, DNREC granted the permit.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 Vegetation and other natural alternatives are the preferred methods of controlling erosion. The majority of inland erosion projects involve rip-rap. Rip-rap, more preferred than bulkheading, will help preserve the beach.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 Although rip-rap will hinder the public's access to and ability to walk along the beach, the public still will be able to pass along the beach and in shallow water.</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 w:name="co_pp_sp_999_3_1"/>
      <w:r>
        <w:rPr>
          <w:rFonts w:ascii="Times New Roman" w:hAnsi="Times New Roman"/>
          <w:b/>
          <w:color w:val="000000"/>
          <w:sz w:val="20"/>
        </w:rPr>
        <w:t>*3</w:t>
      </w:r>
      <w:bookmarkEnd w:id="16"/>
      <w:r>
        <w:rPr>
          <w:rFonts w:ascii="Times New Roman" w:hAnsi="Times New Roman"/>
          <w:color w:val="000000"/>
          <w:sz w:val="20"/>
        </w:rPr>
        <w:t xml:space="preserve"> The Board's conclusions of law are set forth below.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 Mr. Groves was not entitled to notice of the permit application other than by the published notice given.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A public hearing was not required because “[t]he permit was for a three year time period; it did not exceed the ten year threshold which would have mandated a public hearing.”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 The following conclusion is important to this Court's analysis of this case, and I will set it forth in full:</w:t>
      </w:r>
    </w:p>
    <w:p>
      <w:pPr>
        <w:spacing w:before="200" w:after="0" w:line="275" w:lineRule="atLeast"/>
        <w:ind w:left="200" w:right="0" w:firstLine="0"/>
        <w:jc w:val="both"/>
      </w:pPr>
      <w:r>
        <w:rPr>
          <w:rFonts w:ascii="Times New Roman" w:hAnsi="Times New Roman"/>
          <w:color w:val="000000"/>
          <w:sz w:val="20"/>
        </w:rPr>
        <w:t xml:space="preserve">“Permit applications should be evaluated in light of the public trust doctrine which provides the people with a right of passage over the sand and soil between the high and low water marks in navigable waters. </w:t>
      </w:r>
      <w:r>
        <w:rPr>
          <w:rFonts w:ascii="Times New Roman" w:hAnsi="Times New Roman"/>
          <w:i/>
          <w:color w:val="000000"/>
          <w:sz w:val="20"/>
        </w:rPr>
        <w:t xml:space="preserve">See </w:t>
      </w:r>
      <w:hyperlink r:id="r16">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8"/>
                      <a:srcRect/>
                      <a:stretch>
                        <a:fillRect/>
                      </a:stretch>
                    </p:blipFill>
                    <p:spPr>
                      <a:xfrm>
                        <a:off x="0" y="0"/>
                        <a:ext cx="161925" cy="161925"/>
                      </a:xfrm>
                      <a:prstGeom prst="rect"/>
                    </p:spPr>
                  </p:pic>
                </a:graphicData>
              </a:graphic>
            </wp:inline>
          </w:drawing>
        </w:r>
      </w:hyperlink>
      <w:hyperlink r:id="r17">
        <w:r>
          <w:rPr>
            <w:rFonts w:ascii="Times New Roman" w:hAnsi="Times New Roman"/>
            <w:i/>
            <w:color w:val="000000"/>
            <w:sz w:val="20"/>
          </w:rPr>
          <w:t>Bickel v. Polk,</w:t>
        </w:r>
        <w:r>
          <w:rPr>
            <w:rFonts w:ascii="Times New Roman" w:hAnsi="Times New Roman"/>
            <w:color w:val="000000"/>
            <w:sz w:val="20"/>
          </w:rPr>
          <w:t xml:space="preserve"> Del.Super., 5 De. 325 (Harr.1851)</w:t>
        </w:r>
      </w:hyperlink>
      <w:r>
        <w:rPr>
          <w:rFonts w:ascii="Times New Roman" w:hAnsi="Times New Roman"/>
          <w:color w:val="000000"/>
          <w:sz w:val="20"/>
        </w:rPr>
        <w:t>, which involved fishing rights, but the same principles can be applied to recreational activities in Rehoboth Bay.</w:t>
      </w:r>
      <w:r>
        <w:rPr>
          <w:rFonts w:ascii="Times New Roman" w:hAnsi="Times New Roman"/>
          <w:color w:val="000000"/>
          <w:sz w:val="16"/>
          <w:vertAlign w:val="superscript"/>
        </w:rPr>
        <w:t>*</w:t>
      </w:r>
      <w:r>
        <w:rPr>
          <w:rFonts w:ascii="Times New Roman" w:hAnsi="Times New Roman"/>
          <w:color w:val="000000"/>
          <w:sz w:val="20"/>
        </w:rPr>
        <w:t xml:space="preserve"> The Board believes that Delaware courts will apply the public trust doctrine to evaluate the rights of the public affected by the Permit.</w:t>
      </w:r>
    </w:p>
    <w:p>
      <w:pPr>
        <w:spacing w:before="0" w:after="0" w:line="275" w:lineRule="atLeast"/>
        <w:jc w:val="both"/>
      </w:pPr>
      <w:r>
        <w:rPr>
          <w:rFonts w:ascii="Times New Roman" w:hAnsi="Times New Roman"/>
          <w:color w:val="000000"/>
          <w:sz w:val="20"/>
        </w:rPr>
        <w:t> </w:t>
      </w:r>
    </w:p>
    <w:bookmarkStart w:id="17" w:name="co_opinion_1"/>
    <w:p>
      <w:pPr>
        <w:keepNext/>
        <w:keepLines/>
        <w:spacing w:before="400" w:after="0" w:line="275" w:lineRule="atLeast"/>
        <w:jc w:val="both"/>
      </w:pPr>
      <w:r>
        <w:rPr>
          <w:rFonts w:ascii="Times New Roman" w:hAnsi="Times New Roman"/>
          <w:b/>
          <w:color w:val="212121"/>
          <w:sz w:val="20"/>
        </w:rPr>
        <w:t>Opinion</w:t>
      </w:r>
    </w:p>
    <w:bookmarkEnd w:id="17"/>
    <w:bookmarkStart w:id="18" w:name="co_anchor_I4cf375ac97c811de9b8c85033233"/>
    <w:bookmarkStart w:id="19" w:name="co_anchor_I4cf375ae97c811de9b8c85033233"/>
    <w:p>
      <w:pPr>
        <w:spacing w:before="0" w:after="0" w:line="275" w:lineRule="atLeast"/>
        <w:jc w:val="both"/>
      </w:pPr>
      <w:r>
        <w:rPr>
          <w:rFonts w:ascii="Times New Roman" w:hAnsi="Times New Roman"/>
          <w:color w:val="000000"/>
          <w:sz w:val="20"/>
        </w:rPr>
        <w:t>(4) The rip-rap does not block the easement area in question here.</w:t>
      </w:r>
    </w:p>
    <w:bookmarkEnd w:id="19"/>
    <w:bookmarkEnd w:id="1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 Erosion is occurring on Ms. Mertes'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 The DNREC considered the public's interest in this case. Stabilizing beach erosion also benefits the public. The DNREC balanced the public's interests with those of Ms. Mertes.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(7) Rip-rap is the preferred erosion control measure on this property, and it is justified under the facts here.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(8) Mr. Groves did not meet his burden of proof to show the Secretary's decision was not supported by the evidence before the Board.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light of the foregoing, the Board affirmed the Secretary's decision to grant the permit by a vote of 4 to 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October 16, 1992, Mr. Groves filed his appeal of the Board's decision with this Court.</w:t>
      </w:r>
    </w:p>
    <w:p>
      <w:pPr>
        <w:spacing w:before="0" w:after="0" w:line="275" w:lineRule="atLeast"/>
        <w:jc w:val="both"/>
      </w:pPr>
      <w:r>
        <w:rPr>
          <w:rFonts w:ascii="Times New Roman" w:hAnsi="Times New Roman"/>
          <w:color w:val="000000"/>
          <w:sz w:val="20"/>
        </w:rPr>
        <w:t> </w:t>
      </w:r>
    </w:p>
    <w:bookmarkStart w:id="20" w:name="co_anchor_I4cf375af97c811de9b8c85033233"/>
    <w:bookmarkStart w:id="21" w:name="co_anchor_I4cf375af97c811de9b8c850332"/>
    <w:p>
      <w:pPr>
        <w:spacing w:before="600" w:after="0" w:line="275" w:lineRule="atLeast"/>
        <w:jc w:val="center"/>
      </w:pPr>
      <w:r>
        <w:rPr>
          <w:rFonts w:ascii="Times New Roman" w:hAnsi="Times New Roman"/>
          <w:color w:val="000000"/>
          <w:sz w:val="20"/>
        </w:rPr>
        <w:t>DISCUSSION</w:t>
      </w:r>
    </w:p>
    <w:bookmarkEnd w:id="21"/>
    <w:bookmarkEnd w:id="20"/>
    <w:p>
      <w:pPr>
        <w:spacing w:before="200" w:after="0" w:line="275" w:lineRule="atLeast"/>
        <w:jc w:val="both"/>
      </w:pPr>
      <w:r>
        <w:rPr>
          <w:rFonts w:ascii="Times New Roman" w:hAnsi="Times New Roman"/>
          <w:color w:val="000000"/>
          <w:sz w:val="20"/>
        </w:rPr>
        <w:t xml:space="preserve">This Court, in reviewing the Board's decision, determines if substantial evidence on the record supports the Board's findings of fact. </w:t>
      </w:r>
      <w:hyperlink r:id="r19">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6009(b)</w:t>
        </w:r>
      </w:hyperlink>
      <w:r>
        <w:rPr>
          <w:rFonts w:ascii="Times New Roman" w:hAnsi="Times New Roman"/>
          <w:color w:val="000000"/>
          <w:sz w:val="20"/>
        </w:rPr>
        <w:t xml:space="preserve">. It also determines if the Board committed any errors of law. </w:t>
      </w:r>
      <w:hyperlink r:id="r20">
        <w:r>
          <w:rPr>
            <w:rFonts w:ascii="Times New Roman" w:hAnsi="Times New Roman"/>
            <w:color w:val="000000"/>
            <w:sz w:val="30"/>
          </w:rPr>
          <w:drawing>
            <wp:inline>
              <wp:extent cx="161925" cy="161925"/>
              <wp:docPr id="3" name="Picture 1"/>
              <a:graphic>
                <a:graphicData uri="http://schemas.openxmlformats.org/drawingml/2006/picture">
                  <p:pic>
                    <p:nvPicPr>
                      <p:cNvPr id="4" name="Picture 1"/>
                      <p:cNvPicPr/>
                    </p:nvPicPr>
                    <p:blipFill>
                      <a:blip r:embed="r18"/>
                      <a:srcRect/>
                      <a:stretch>
                        <a:fillRect/>
                      </a:stretch>
                    </p:blipFill>
                    <p:spPr>
                      <a:xfrm>
                        <a:off x="0" y="0"/>
                        <a:ext cx="161925" cy="161925"/>
                      </a:xfrm>
                      <a:prstGeom prst="rect"/>
                    </p:spPr>
                  </p:pic>
                </a:graphicData>
              </a:graphic>
            </wp:inline>
          </w:drawing>
        </w:r>
      </w:hyperlink>
      <w:hyperlink r:id="r21">
        <w:r>
          <w:rPr>
            <w:rFonts w:ascii="Times New Roman" w:hAnsi="Times New Roman"/>
            <w:i/>
            <w:color w:val="000000"/>
            <w:sz w:val="20"/>
          </w:rPr>
          <w:t>State, Dept. of Labor v. Med. Placement Ser.,</w:t>
        </w:r>
        <w:r>
          <w:rPr>
            <w:rFonts w:ascii="Times New Roman" w:hAnsi="Times New Roman"/>
            <w:color w:val="000000"/>
            <w:sz w:val="20"/>
          </w:rPr>
          <w:t xml:space="preserve"> Del.Super., 457 A.2d 382, 383 (1982)</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22">
        <w:r>
          <w:rPr>
            <w:rFonts w:ascii="Times New Roman" w:hAnsi="Times New Roman"/>
            <w:color w:val="000000"/>
            <w:sz w:val="20"/>
          </w:rPr>
          <w:t>Del.Supr., 467 A.2d 454 (1983)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appeal, Mr. Groves advances three major arguments. First, he maintains that the Board erroneously interpreted </w:t>
      </w:r>
      <w:hyperlink r:id="r23">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7208(a)(1)</w:t>
        </w:r>
      </w:hyperlink>
      <w:r>
        <w:rPr>
          <w:rFonts w:ascii="Times New Roman" w:hAnsi="Times New Roman"/>
          <w:color w:val="000000"/>
          <w:sz w:val="20"/>
        </w:rPr>
        <w:t>, and accordingly, it was error for the DNREC not to have held a hearing before it issued the permit. Second, the Secretary failed to provide adequate notice to Mr. Groves before issuing the permit. Finally, the Secretary failed to adequately address the public interest prior to issuing the permit. I now address each of these arguments in turn.</w:t>
      </w:r>
    </w:p>
    <w:p>
      <w:pPr>
        <w:spacing w:before="0" w:after="0" w:line="275" w:lineRule="atLeast"/>
        <w:jc w:val="both"/>
      </w:pPr>
      <w:r>
        <w:rPr>
          <w:rFonts w:ascii="Times New Roman" w:hAnsi="Times New Roman"/>
          <w:color w:val="000000"/>
          <w:sz w:val="20"/>
        </w:rPr>
        <w:t> </w:t>
      </w:r>
    </w:p>
    <w:bookmarkStart w:id="22" w:name="co_anchor_I4cf375b097c811de9b8c85033233"/>
    <w:bookmarkStart w:id="23" w:name="co_anchor_I4cf375b097c811de9b8c850332"/>
    <w:p>
      <w:pPr>
        <w:spacing w:before="400" w:after="0" w:line="275" w:lineRule="atLeast"/>
      </w:pPr>
      <w:r>
        <w:rPr>
          <w:rFonts w:ascii="Times New Roman" w:hAnsi="Times New Roman"/>
          <w:i/>
          <w:color w:val="000000"/>
          <w:sz w:val="20"/>
        </w:rPr>
        <w:t>Public Hearing</w:t>
      </w:r>
    </w:p>
    <w:bookmarkEnd w:id="23"/>
    <w:bookmarkEnd w:id="22"/>
    <w:p>
      <w:pPr>
        <w:spacing w:before="0" w:after="0" w:line="275" w:lineRule="atLeast"/>
        <w:jc w:val="both"/>
      </w:pPr>
      <w:bookmarkStart w:id="24" w:name="co_pp_sp_999_4_1"/>
      <w:r>
        <w:rPr>
          <w:rFonts w:ascii="Times New Roman" w:hAnsi="Times New Roman"/>
          <w:b/>
          <w:color w:val="000000"/>
          <w:sz w:val="20"/>
        </w:rPr>
        <w:t>*4</w:t>
      </w:r>
      <w:bookmarkEnd w:id="24"/>
      <w:r>
        <w:rPr>
          <w:rFonts w:ascii="Times New Roman" w:hAnsi="Times New Roman"/>
          <w:color w:val="000000"/>
          <w:sz w:val="20"/>
        </w:rPr>
        <w:t xml:space="preserve"> The first issue is whether the Department should have held a public hearing before issuing the permit. </w:t>
      </w:r>
      <w:hyperlink r:id="r24">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7208(a)(1)</w:t>
        </w:r>
      </w:hyperlink>
      <w:r>
        <w:rPr>
          <w:rFonts w:ascii="Times New Roman" w:hAnsi="Times New Roman"/>
          <w:color w:val="000000"/>
          <w:sz w:val="20"/>
        </w:rPr>
        <w:t>, as it existed at the time of the application, was clear and unambiguous; a public hearing was required. The synopsis of the bill amending this statute to remove the requirement of a hearing upon the issuance of a subaqueous lands permit underscores the validity of this conclusion.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However, that conclusion does not mandate a reversal. Instead, the Court must consider the effect on this case of the amendment to </w:t>
      </w:r>
      <w:hyperlink r:id="r25">
        <w:r>
          <w:rPr>
            <w:rFonts w:ascii="Times New Roman" w:hAnsi="Times New Roman"/>
            <w:color w:val="000000"/>
            <w:sz w:val="20"/>
          </w:rPr>
          <w:t>§ 7208(a)(1)</w:t>
        </w:r>
      </w:hyperlink>
      <w:r>
        <w:rPr>
          <w:rFonts w:ascii="Times New Roman" w:hAnsi="Times New Roman"/>
          <w:color w:val="000000"/>
          <w:sz w:val="20"/>
        </w:rPr>
        <w:t>.</w:t>
      </w:r>
      <w:bookmarkStart w:id="25" w:name="co_fnRef_B00771994069309_ID0EPSAE_1"/>
      <w:hyperlink w:anchor="co_footnote_B00771994069309_1">
        <w:r>
          <w:rPr>
            <w:rFonts w:ascii="Times New Roman" w:hAnsi="Times New Roman"/>
            <w:color w:val="000000"/>
            <w:sz w:val="16"/>
            <w:vertAlign w:val="superscript"/>
          </w:rPr>
          <w:t>7</w:t>
        </w:r>
      </w:hyperlink>
      <w:bookmarkEnd w:id="25"/>
      <w:r>
        <w:rPr>
          <w:rFonts w:ascii="Times New Roman" w:hAnsi="Times New Roman"/>
          <w:color w:val="000000"/>
          <w:sz w:val="20"/>
        </w:rPr>
        <w:t xml:space="preserve"> The guiding principles are set forth in </w:t>
      </w:r>
      <w:hyperlink r:id="r26">
        <w:r>
          <w:rPr>
            <w:rFonts w:ascii="Times New Roman" w:hAnsi="Times New Roman"/>
            <w:i/>
            <w:color w:val="000000"/>
            <w:sz w:val="20"/>
          </w:rPr>
          <w:t>Tunnell v. Frye,</w:t>
        </w:r>
        <w:r>
          <w:rPr>
            <w:rFonts w:ascii="Times New Roman" w:hAnsi="Times New Roman"/>
            <w:color w:val="000000"/>
            <w:sz w:val="20"/>
          </w:rPr>
          <w:t xml:space="preserve"> Del.Super., 254 A.2d 58, 61 (1969)</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“[W]here a statute has been newly enacted or amended pending an appeal from an administrative decision and where that decision or the grounds used in arriving thereat are contrary to the terms of the new or amended statute, the Court should judge the agency's action according to the new or amended law.</w:t>
      </w:r>
      <w:r>
        <w:rPr>
          <w:rFonts w:ascii="Times New Roman" w:hAnsi="Times New Roman"/>
          <w:color w:val="000000"/>
          <w:sz w:val="20"/>
        </w:rPr>
        <w:t xml:space="preserve"> </w:t>
      </w:r>
      <w:hyperlink r:id="r27">
        <w:r>
          <w:rPr>
            <w:rFonts w:ascii="Times New Roman" w:hAnsi="Times New Roman"/>
            <w:i/>
            <w:color w:val="000000"/>
            <w:sz w:val="20"/>
          </w:rPr>
          <w:t>Frye v. Celebrezze,</w:t>
        </w:r>
        <w:r>
          <w:rPr>
            <w:rFonts w:ascii="Times New Roman" w:hAnsi="Times New Roman"/>
            <w:color w:val="000000"/>
            <w:sz w:val="20"/>
          </w:rPr>
          <w:t xml:space="preserve"> ... [4th Cir., 365 F.2d 865 (1966)</w:t>
        </w:r>
      </w:hyperlink>
      <w:r>
        <w:rPr>
          <w:rFonts w:ascii="Times New Roman" w:hAnsi="Times New Roman"/>
          <w:color w:val="000000"/>
          <w:sz w:val="20"/>
        </w:rPr>
        <w:t xml:space="preserve"> ] and </w:t>
      </w:r>
      <w:hyperlink r:id="r28">
        <w:r>
          <w:rPr>
            <w:rFonts w:ascii="Times New Roman" w:hAnsi="Times New Roman"/>
            <w:i/>
            <w:color w:val="000000"/>
            <w:sz w:val="20"/>
          </w:rPr>
          <w:t>Slaughter v. Elkins,</w:t>
        </w:r>
        <w:r>
          <w:rPr>
            <w:rFonts w:ascii="Times New Roman" w:hAnsi="Times New Roman"/>
            <w:color w:val="000000"/>
            <w:sz w:val="20"/>
          </w:rPr>
          <w:t xml:space="preserve"> ... [W.D.Va., 260 F.Supp. 835 (1966)</w:t>
        </w:r>
      </w:hyperlink>
      <w:r>
        <w:rPr>
          <w:rFonts w:ascii="Times New Roman" w:hAnsi="Times New Roman"/>
          <w:color w:val="000000"/>
          <w:sz w:val="20"/>
        </w:rPr>
        <w:t xml:space="preserve"> ]. On the other hand, the new or amended law should not be applied by the reviewing Court where the agency seeks to rely on it to justify action taken before the change. </w:t>
      </w:r>
      <w:hyperlink r:id="r29">
        <w:r>
          <w:rPr>
            <w:rFonts w:ascii="Times New Roman" w:hAnsi="Times New Roman"/>
            <w:i/>
            <w:color w:val="000000"/>
            <w:sz w:val="20"/>
          </w:rPr>
          <w:t>Peterson v. Livestock Commission,</w:t>
        </w:r>
        <w:r>
          <w:rPr>
            <w:rFonts w:ascii="Times New Roman" w:hAnsi="Times New Roman"/>
            <w:color w:val="000000"/>
            <w:sz w:val="20"/>
          </w:rPr>
          <w:t xml:space="preserve"> ... [Mont.Supr., 181 P.2d 152 (1947)</w:t>
        </w:r>
      </w:hyperlink>
      <w:r>
        <w:rPr>
          <w:rFonts w:ascii="Times New Roman" w:hAnsi="Times New Roman"/>
          <w:color w:val="000000"/>
          <w:sz w:val="20"/>
        </w:rPr>
        <w:t xml:space="preserve"> ].”</w:t>
      </w:r>
    </w:p>
    <w:p>
      <w:pPr>
        <w:spacing w:before="200" w:after="0" w:line="275" w:lineRule="atLeast"/>
        <w:jc w:val="both"/>
      </w:pPr>
      <w:r>
        <w:rPr>
          <w:rFonts w:ascii="Times New Roman" w:hAnsi="Times New Roman"/>
          <w:color w:val="000000"/>
          <w:sz w:val="20"/>
        </w:rPr>
        <w:t xml:space="preserve">The Superior Court followed </w:t>
      </w:r>
      <w:r>
        <w:rPr>
          <w:rFonts w:ascii="Times New Roman" w:hAnsi="Times New Roman"/>
          <w:i/>
          <w:color w:val="000000"/>
          <w:sz w:val="20"/>
        </w:rPr>
        <w:t>Tunnell v. Frye, supra</w:t>
      </w:r>
      <w:r>
        <w:rPr>
          <w:rFonts w:ascii="Times New Roman" w:hAnsi="Times New Roman"/>
          <w:color w:val="000000"/>
          <w:sz w:val="20"/>
        </w:rPr>
        <w:t xml:space="preserve"> in the case of </w:t>
      </w:r>
      <w:r>
        <w:rPr>
          <w:rFonts w:ascii="Times New Roman" w:hAnsi="Times New Roman"/>
          <w:i/>
          <w:color w:val="000000"/>
          <w:sz w:val="20"/>
        </w:rPr>
        <w:t>Bellevue Management Association v. Delaware Alcoholic Beverage Control Commission,</w:t>
      </w:r>
      <w:r>
        <w:rPr>
          <w:rFonts w:ascii="Times New Roman" w:hAnsi="Times New Roman"/>
          <w:color w:val="000000"/>
          <w:sz w:val="20"/>
        </w:rPr>
        <w:t xml:space="preserve"> Del.Super., C.A. No. 80A-MY-10, Bifferato, J. (August 5, 1981) at 3. The Court gleans another rule from all of the above-cited cases, including those within the quote: If the statutory change will benefit the applicant, then the Court should judge the agency's actions according to the new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this case, the DNREC's rationale for its conclusion is contrary to the new statute. The DNREC is not seeking to rely on the new statute to support its prior decision. The statute, as amended, benefits the applicant. Accordingly, the Court will judge the agency's action regarding a public hearing according to the amended statute. No public hearing was required.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conclusion is the only reasonable one. If the Court reversed the Board's decision based on the DNREC's failure to hold a public hearing, a public hearing still would not be held, as is made clear by setting forth what would occur. The Court would declare the previously-issued permit illegal. Ms. Mertes would begin anew. The applicable law does not require a public hearing. If Mr. Groves appealed the granting of the permit, Ms. Mertes would have to repeat the exact same steps she previously took. Mr. Groves still would not receive a public hearing. No excuse exists for such a waste of administrative, legal, and private resources. This is especially so when the administrative and judicial reviews which have taken place have provided a protection for Mr. Groves against arbitrary administrative discretion. </w:t>
      </w:r>
      <w:r>
        <w:rPr>
          <w:rFonts w:ascii="Times New Roman" w:hAnsi="Times New Roman"/>
          <w:i/>
          <w:color w:val="000000"/>
          <w:sz w:val="20"/>
        </w:rPr>
        <w:t xml:space="preserve">See </w:t>
      </w:r>
      <w:hyperlink r:id="r30">
        <w:r>
          <w:rPr>
            <w:rFonts w:ascii="Times New Roman" w:hAnsi="Times New Roman"/>
            <w:i/>
            <w:color w:val="000000"/>
            <w:sz w:val="20"/>
          </w:rPr>
          <w:t>Atlantis I Condominium Ass'n v. Bryson,</w:t>
        </w:r>
        <w:r>
          <w:rPr>
            <w:rFonts w:ascii="Times New Roman" w:hAnsi="Times New Roman"/>
            <w:color w:val="000000"/>
            <w:sz w:val="20"/>
          </w:rPr>
          <w:t xml:space="preserve"> Del.Supr., 403 A.2d 711, 717 (1979)</w:t>
        </w:r>
      </w:hyperlink>
      <w:r>
        <w:rPr>
          <w:rFonts w:ascii="Times New Roman" w:hAnsi="Times New Roman"/>
          <w:color w:val="000000"/>
          <w:sz w:val="20"/>
        </w:rPr>
        <w:t xml:space="preserve"> (appeals of Division of Soil and Water Conservation's decisions to the Secretary of the DNREC and then on to the Superior Court protect affected parties from arbitrary administrative decisions).</w:t>
      </w:r>
      <w:bookmarkStart w:id="26" w:name="co_fnRef_B00881994069309_ID0ENYAE_1"/>
      <w:hyperlink w:anchor="co_footnote_B00881994069309_1">
        <w:r>
          <w:rPr>
            <w:rFonts w:ascii="Times New Roman" w:hAnsi="Times New Roman"/>
            <w:color w:val="000000"/>
            <w:sz w:val="16"/>
            <w:vertAlign w:val="superscript"/>
          </w:rPr>
          <w:t>8</w:t>
        </w:r>
      </w:hyperlink>
      <w:bookmarkEnd w:id="26"/>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7" w:name="co_pp_sp_999_5_1"/>
      <w:r>
        <w:rPr>
          <w:rFonts w:ascii="Times New Roman" w:hAnsi="Times New Roman"/>
          <w:b/>
          <w:color w:val="000000"/>
          <w:sz w:val="20"/>
        </w:rPr>
        <w:t>*5</w:t>
      </w:r>
      <w:bookmarkEnd w:id="27"/>
      <w:r>
        <w:rPr>
          <w:rFonts w:ascii="Times New Roman" w:hAnsi="Times New Roman"/>
          <w:color w:val="000000"/>
          <w:sz w:val="20"/>
        </w:rPr>
        <w:t xml:space="preserve"> In an argument appearing in a footnote of his opening brief, Mr. Groves contends that a public hearing was mandated under </w:t>
      </w:r>
      <w:hyperlink r:id="r31">
        <w:r>
          <w:rPr>
            <w:rFonts w:ascii="Times New Roman" w:hAnsi="Times New Roman"/>
            <w:color w:val="000000"/>
            <w:sz w:val="20"/>
          </w:rPr>
          <w:t>§ 7208(a)(2)</w:t>
        </w:r>
      </w:hyperlink>
      <w:r>
        <w:rPr>
          <w:rFonts w:ascii="Times New Roman" w:hAnsi="Times New Roman"/>
          <w:color w:val="000000"/>
          <w:sz w:val="20"/>
        </w:rPr>
        <w:t xml:space="preserve">, which requires a hearing if the Secretary determines one is in the public interest. He argues that because the DNREC was on notice of the possibility of legal violations by the applicant and of Mr. Groves' objections, a public hearing was required. The DNREC did not become aware of these alleged problems until </w:t>
      </w:r>
      <w:r>
        <w:rPr>
          <w:rFonts w:ascii="Times New Roman" w:hAnsi="Times New Roman"/>
          <w:i/>
          <w:color w:val="000000"/>
          <w:sz w:val="20"/>
        </w:rPr>
        <w:t>after</w:t>
      </w:r>
      <w:r>
        <w:rPr>
          <w:rFonts w:ascii="Times New Roman" w:hAnsi="Times New Roman"/>
          <w:color w:val="000000"/>
          <w:sz w:val="20"/>
        </w:rPr>
        <w:t xml:space="preserve"> the Secretary issued the permit. At the time the Secretary had to determine if the public interest warranted a public hearing, these problems did not even exist. This argument is meritless.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Also in the same footnote, Mr. Groves argues that because the rip-rap would limit the public's access to walk and recreate on this area between high and low tides, it was in the public's interest to hold a public hearing. As will be explained in full at a later point in this decision, the Court completely rejects any contention that the public has a right to such access. Thus, this argument also is meritless.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decision not to hold a hearing under </w:t>
      </w:r>
      <w:hyperlink r:id="r32">
        <w:r>
          <w:rPr>
            <w:rFonts w:ascii="Times New Roman" w:hAnsi="Times New Roman"/>
            <w:color w:val="000000"/>
            <w:sz w:val="20"/>
          </w:rPr>
          <w:t>§ 7208(a)(2)</w:t>
        </w:r>
      </w:hyperlink>
      <w:r>
        <w:rPr>
          <w:rFonts w:ascii="Times New Roman" w:hAnsi="Times New Roman"/>
          <w:color w:val="000000"/>
          <w:sz w:val="20"/>
        </w:rPr>
        <w:t xml:space="preserve"> was discretionary, and absent any evidence of an abuse of discretion, this Court will uphold that decision. </w:t>
      </w:r>
      <w:r>
        <w:rPr>
          <w:rFonts w:ascii="Times New Roman" w:hAnsi="Times New Roman"/>
          <w:i/>
          <w:color w:val="000000"/>
          <w:sz w:val="20"/>
        </w:rPr>
        <w:t>State, Dept. of Labor v. Med. Placement Ser., supra.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conclusion, the Court does not reverse the granting of the permit due to the DNREC's failure to hold a public hearing.</w:t>
      </w:r>
    </w:p>
    <w:p>
      <w:pPr>
        <w:spacing w:before="0" w:after="0" w:line="275" w:lineRule="atLeast"/>
        <w:jc w:val="both"/>
      </w:pPr>
      <w:r>
        <w:rPr>
          <w:rFonts w:ascii="Times New Roman" w:hAnsi="Times New Roman"/>
          <w:color w:val="000000"/>
          <w:sz w:val="20"/>
        </w:rPr>
        <w:t> </w:t>
      </w:r>
    </w:p>
    <w:bookmarkStart w:id="28" w:name="co_anchor_I4cf375b197c811de9b8c85033233"/>
    <w:bookmarkStart w:id="29" w:name="co_anchor_I4cf375b197c811de9b8c850332"/>
    <w:p>
      <w:pPr>
        <w:spacing w:before="400" w:after="0" w:line="275" w:lineRule="atLeast"/>
      </w:pPr>
      <w:r>
        <w:rPr>
          <w:rFonts w:ascii="Times New Roman" w:hAnsi="Times New Roman"/>
          <w:i/>
          <w:color w:val="000000"/>
          <w:sz w:val="20"/>
        </w:rPr>
        <w:t>Notification to Mr. Groves</w:t>
      </w:r>
    </w:p>
    <w:bookmarkEnd w:id="29"/>
    <w:bookmarkEnd w:id="28"/>
    <w:p>
      <w:pPr>
        <w:spacing w:before="0" w:after="0" w:line="275" w:lineRule="atLeast"/>
        <w:jc w:val="both"/>
      </w:pPr>
      <w:r>
        <w:rPr>
          <w:rFonts w:ascii="Times New Roman" w:hAnsi="Times New Roman"/>
          <w:color w:val="000000"/>
          <w:sz w:val="20"/>
        </w:rPr>
        <w:t xml:space="preserve">Mr. Groves' second argument is that he was entitled to notification as an immediately adjacent landowner under </w:t>
      </w:r>
      <w:hyperlink r:id="r33">
        <w:r>
          <w:rPr>
            <w:rFonts w:ascii="Times New Roman" w:hAnsi="Times New Roman"/>
            <w:color w:val="000000"/>
            <w:sz w:val="20"/>
          </w:rPr>
          <w:t>§ 7208(b)</w:t>
        </w:r>
      </w:hyperlink>
      <w:r>
        <w:rPr>
          <w:rFonts w:ascii="Times New Roman" w:hAnsi="Times New Roman"/>
          <w:color w:val="000000"/>
          <w:sz w:val="20"/>
        </w:rPr>
        <w:t>. Even assuming, without deciding, that Mr. Groves was an adjacent landowner, the question is: Of what notification does that statute entitle him? The answer is clearly set forth in the statute: NOTICE OF ANY PUBLIC HEARING. Contrary to his argument, Mr. Groves was not entitled to notice of the application other than by that provided in the newspapers. Absent a statutory or regulatory requirement of notice of a permit application to a nearby or adjacent property owner, this Court will not impose such a burden. In conclusion, Mr. Groves was not entitled to any notice of the application other than the public notice provided.</w:t>
      </w:r>
    </w:p>
    <w:p>
      <w:pPr>
        <w:spacing w:before="0" w:after="0" w:line="275" w:lineRule="atLeast"/>
        <w:jc w:val="both"/>
      </w:pPr>
      <w:r>
        <w:rPr>
          <w:rFonts w:ascii="Times New Roman" w:hAnsi="Times New Roman"/>
          <w:color w:val="000000"/>
          <w:sz w:val="20"/>
        </w:rPr>
        <w:t> </w:t>
      </w:r>
    </w:p>
    <w:bookmarkStart w:id="30" w:name="co_anchor_I4cf375b297c811de9b8c85033233"/>
    <w:bookmarkStart w:id="31" w:name="co_anchor_I4cf375b297c811de9b8c850332"/>
    <w:p>
      <w:pPr>
        <w:spacing w:before="400" w:after="0" w:line="275" w:lineRule="atLeast"/>
      </w:pPr>
      <w:r>
        <w:rPr>
          <w:rFonts w:ascii="Times New Roman" w:hAnsi="Times New Roman"/>
          <w:i/>
          <w:color w:val="000000"/>
          <w:sz w:val="20"/>
        </w:rPr>
        <w:t>Public Interest</w:t>
      </w:r>
    </w:p>
    <w:bookmarkEnd w:id="31"/>
    <w:bookmarkEnd w:id="30"/>
    <w:p>
      <w:pPr>
        <w:spacing w:before="0" w:after="0" w:line="275" w:lineRule="atLeast"/>
        <w:jc w:val="both"/>
      </w:pPr>
      <w:r>
        <w:rPr>
          <w:rFonts w:ascii="Times New Roman" w:hAnsi="Times New Roman"/>
          <w:color w:val="000000"/>
          <w:sz w:val="20"/>
        </w:rPr>
        <w:t>Mr. Groves argues the record is without substantial evidence that the Secretary properly considered the public interest as it relates to the public trust doctrine and to the approval of a revetment as the appropriate erosion control measure in this case.</w:t>
      </w:r>
    </w:p>
    <w:p>
      <w:pPr>
        <w:spacing w:before="0" w:after="0" w:line="275" w:lineRule="atLeast"/>
        <w:jc w:val="both"/>
      </w:pPr>
      <w:r>
        <w:rPr>
          <w:rFonts w:ascii="Times New Roman" w:hAnsi="Times New Roman"/>
          <w:color w:val="000000"/>
          <w:sz w:val="20"/>
        </w:rPr>
        <w:t> </w:t>
      </w:r>
    </w:p>
    <w:bookmarkStart w:id="32" w:name="co_anchor_I4cf375b397c811de9b8c85033233"/>
    <w:bookmarkStart w:id="33" w:name="co_anchor_I4cf375b397c811de9b8c850332"/>
    <w:p>
      <w:pPr>
        <w:spacing w:before="400" w:after="0" w:line="275" w:lineRule="atLeast"/>
      </w:pPr>
      <w:r>
        <w:rPr>
          <w:rFonts w:ascii="Times New Roman" w:hAnsi="Times New Roman"/>
          <w:color w:val="000000"/>
          <w:sz w:val="20"/>
        </w:rPr>
        <w:t>A. Public Trust Doctrine</w:t>
      </w:r>
    </w:p>
    <w:bookmarkEnd w:id="33"/>
    <w:bookmarkEnd w:id="32"/>
    <w:p>
      <w:pPr>
        <w:spacing w:before="0" w:after="0" w:line="275" w:lineRule="atLeast"/>
        <w:jc w:val="both"/>
      </w:pPr>
      <w:r>
        <w:rPr>
          <w:rFonts w:ascii="Times New Roman" w:hAnsi="Times New Roman"/>
          <w:color w:val="000000"/>
          <w:sz w:val="20"/>
        </w:rPr>
        <w:t>I begin by examining the public trust doctrine. Mr. Groves and the DNREC have argued that the public has a right of access to the area of Ms. Mertes' property between the high and low tide lines (referred to for ease of convenience as “the foreshore”) to walk, sunbathe, and recreate. The Board accepted this position, categorizing it as a part of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support of their position, these parties have cited the New Jersey case of </w:t>
      </w:r>
      <w:hyperlink r:id="r34">
        <w:r>
          <w:rPr>
            <w:rFonts w:ascii="Times New Roman" w:hAnsi="Times New Roman"/>
            <w:color w:val="000000"/>
            <w:sz w:val="30"/>
          </w:rPr>
          <w:drawing>
            <wp:inline>
              <wp:extent cx="161925" cy="161925"/>
              <wp:docPr id="5" name="Picture 1"/>
              <a:graphic>
                <a:graphicData uri="http://schemas.openxmlformats.org/drawingml/2006/picture">
                  <p:pic>
                    <p:nvPicPr>
                      <p:cNvPr id="6" name="Picture 1"/>
                      <p:cNvPicPr/>
                    </p:nvPicPr>
                    <p:blipFill>
                      <a:blip r:embed="r18"/>
                      <a:srcRect/>
                      <a:stretch>
                        <a:fillRect/>
                      </a:stretch>
                    </p:blipFill>
                    <p:spPr>
                      <a:xfrm>
                        <a:off x="0" y="0"/>
                        <a:ext cx="161925" cy="161925"/>
                      </a:xfrm>
                      <a:prstGeom prst="rect"/>
                    </p:spPr>
                  </p:pic>
                </a:graphicData>
              </a:graphic>
            </wp:inline>
          </w:drawing>
        </w:r>
      </w:hyperlink>
      <w:hyperlink r:id="r35">
        <w:r>
          <w:rPr>
            <w:rFonts w:ascii="Times New Roman" w:hAnsi="Times New Roman"/>
            <w:i/>
            <w:color w:val="000000"/>
            <w:sz w:val="20"/>
          </w:rPr>
          <w:t>Matthews v. Bay Head Improvement Assoc.,</w:t>
        </w:r>
        <w:r>
          <w:rPr>
            <w:rFonts w:ascii="Times New Roman" w:hAnsi="Times New Roman"/>
            <w:color w:val="000000"/>
            <w:sz w:val="20"/>
          </w:rPr>
          <w:t xml:space="preserve"> N.J.Supr., 471 A.2d 355 (1984)</w:t>
        </w:r>
      </w:hyperlink>
      <w:r>
        <w:rPr>
          <w:rFonts w:ascii="Times New Roman" w:hAnsi="Times New Roman"/>
          <w:color w:val="000000"/>
          <w:sz w:val="20"/>
        </w:rPr>
        <w:t xml:space="preserve">. This case is not authority for the position that such is the law in Delaware. This is because, as noted in the case itself, in New Jersey, the state owns the foreshore. </w:t>
      </w:r>
      <w:hyperlink r:id="r36">
        <w:r>
          <w:rPr>
            <w:rFonts w:ascii="Times New Roman" w:hAnsi="Times New Roman"/>
            <w:color w:val="000000"/>
            <w:sz w:val="30"/>
          </w:rPr>
          <w:drawing>
            <wp:inline>
              <wp:extent cx="161925" cy="161925"/>
              <wp:docPr id="7" name="Picture 1"/>
              <a:graphic>
                <a:graphicData uri="http://schemas.openxmlformats.org/drawingml/2006/picture">
                  <p:pic>
                    <p:nvPicPr>
                      <p:cNvPr id="8" name="Picture 1"/>
                      <p:cNvPicPr/>
                    </p:nvPicPr>
                    <p:blipFill>
                      <a:blip r:embed="r18"/>
                      <a:srcRect/>
                      <a:stretch>
                        <a:fillRect/>
                      </a:stretch>
                    </p:blipFill>
                    <p:spPr>
                      <a:xfrm>
                        <a:off x="0" y="0"/>
                        <a:ext cx="161925" cy="161925"/>
                      </a:xfrm>
                      <a:prstGeom prst="rect"/>
                    </p:spPr>
                  </p:pic>
                </a:graphicData>
              </a:graphic>
            </wp:inline>
          </w:drawing>
        </w:r>
      </w:hyperlink>
      <w:hyperlink r:id="r37">
        <w:r>
          <w:rPr>
            <w:rFonts w:ascii="Times New Roman" w:hAnsi="Times New Roman"/>
            <w:i/>
            <w:color w:val="000000"/>
            <w:sz w:val="20"/>
          </w:rPr>
          <w:t>Id.</w:t>
        </w:r>
        <w:r>
          <w:rPr>
            <w:rFonts w:ascii="Times New Roman" w:hAnsi="Times New Roman"/>
            <w:color w:val="000000"/>
            <w:sz w:val="20"/>
          </w:rPr>
          <w:t xml:space="preserve"> at 358 and 360.</w:t>
        </w:r>
      </w:hyperlink>
      <w:r>
        <w:rPr>
          <w:rFonts w:ascii="Times New Roman" w:hAnsi="Times New Roman"/>
          <w:color w:val="000000"/>
          <w:sz w:val="20"/>
        </w:rPr>
        <w:t xml:space="preserve"> The Superior Court's opinion in </w:t>
      </w:r>
      <w:hyperlink r:id="r38">
        <w:r>
          <w:rPr>
            <w:rFonts w:ascii="Times New Roman" w:hAnsi="Times New Roman"/>
            <w:color w:val="000000"/>
            <w:sz w:val="30"/>
          </w:rPr>
          <w:drawing>
            <wp:inline>
              <wp:extent cx="161925" cy="161925"/>
              <wp:docPr id="9" name="Picture 1"/>
              <a:graphic>
                <a:graphicData uri="http://schemas.openxmlformats.org/drawingml/2006/picture">
                  <p:pic>
                    <p:nvPicPr>
                      <p:cNvPr id="10" name="Picture 1"/>
                      <p:cNvPicPr/>
                    </p:nvPicPr>
                    <p:blipFill>
                      <a:blip r:embed="r18"/>
                      <a:srcRect/>
                      <a:stretch>
                        <a:fillRect/>
                      </a:stretch>
                    </p:blipFill>
                    <p:spPr>
                      <a:xfrm>
                        <a:off x="0" y="0"/>
                        <a:ext cx="161925" cy="161925"/>
                      </a:xfrm>
                      <a:prstGeom prst="rect"/>
                    </p:spPr>
                  </p:pic>
                </a:graphicData>
              </a:graphic>
            </wp:inline>
          </w:drawing>
        </w:r>
      </w:hyperlink>
      <w:hyperlink r:id="r39">
        <w:r>
          <w:rPr>
            <w:rFonts w:ascii="Times New Roman" w:hAnsi="Times New Roman"/>
            <w:i/>
            <w:color w:val="000000"/>
            <w:sz w:val="20"/>
          </w:rPr>
          <w:t>State v. Pennsylvania Railroad Company,</w:t>
        </w:r>
        <w:r>
          <w:rPr>
            <w:rFonts w:ascii="Times New Roman" w:hAnsi="Times New Roman"/>
            <w:color w:val="000000"/>
            <w:sz w:val="20"/>
          </w:rPr>
          <w:t xml:space="preserve"> Del.Super., 228 A.2d 587, 598 (1967)</w:t>
        </w:r>
      </w:hyperlink>
      <w:r>
        <w:rPr>
          <w:rFonts w:ascii="Times New Roman" w:hAnsi="Times New Roman"/>
          <w:color w:val="000000"/>
          <w:sz w:val="20"/>
        </w:rPr>
        <w:t xml:space="preserve"> and the Supreme Court's affirming opinion in </w:t>
      </w:r>
      <w:hyperlink r:id="r40">
        <w:r>
          <w:rPr>
            <w:rFonts w:ascii="Times New Roman" w:hAnsi="Times New Roman"/>
            <w:color w:val="000000"/>
            <w:sz w:val="30"/>
          </w:rPr>
          <w:drawing>
            <wp:inline>
              <wp:extent cx="161925" cy="161925"/>
              <wp:docPr id="11" name="Picture 1"/>
              <a:graphic>
                <a:graphicData uri="http://schemas.openxmlformats.org/drawingml/2006/picture">
                  <p:pic>
                    <p:nvPicPr>
                      <p:cNvPr id="12" name="Picture 1"/>
                      <p:cNvPicPr/>
                    </p:nvPicPr>
                    <p:blipFill>
                      <a:blip r:embed="r18"/>
                      <a:srcRect/>
                      <a:stretch>
                        <a:fillRect/>
                      </a:stretch>
                    </p:blipFill>
                    <p:spPr>
                      <a:xfrm>
                        <a:off x="0" y="0"/>
                        <a:ext cx="161925" cy="161925"/>
                      </a:xfrm>
                      <a:prstGeom prst="rect"/>
                    </p:spPr>
                  </p:pic>
                </a:graphicData>
              </a:graphic>
            </wp:inline>
          </w:drawing>
        </w:r>
      </w:hyperlink>
      <w:hyperlink r:id="r41">
        <w:r>
          <w:rPr>
            <w:rFonts w:ascii="Times New Roman" w:hAnsi="Times New Roman"/>
            <w:i/>
            <w:color w:val="000000"/>
            <w:sz w:val="20"/>
          </w:rPr>
          <w:t>State ex rel. Buckson v. Pennsylvania Railroad Co.,</w:t>
        </w:r>
        <w:r>
          <w:rPr>
            <w:rFonts w:ascii="Times New Roman" w:hAnsi="Times New Roman"/>
            <w:color w:val="000000"/>
            <w:sz w:val="20"/>
          </w:rPr>
          <w:t xml:space="preserve"> Del.Supr., 267 A.2d 455, 458 (1969)</w:t>
        </w:r>
      </w:hyperlink>
      <w:r>
        <w:rPr>
          <w:rFonts w:ascii="Times New Roman" w:hAnsi="Times New Roman"/>
          <w:color w:val="000000"/>
          <w:sz w:val="20"/>
        </w:rPr>
        <w:t xml:space="preserve"> answer any question of whether a difference between New Jersey and Delaware exists on the subject. In the latter decision, the Supreme Court affirmed the long-standing rule of law in Delaware that a private riparian landowner</w:t>
      </w:r>
      <w:bookmarkStart w:id="34" w:name="co_fnRef_B00991994069309_ID0EGCAG_1"/>
      <w:hyperlink w:anchor="co_footnote_B00991994069309_1">
        <w:r>
          <w:rPr>
            <w:rFonts w:ascii="Times New Roman" w:hAnsi="Times New Roman"/>
            <w:color w:val="000000"/>
            <w:sz w:val="16"/>
            <w:vertAlign w:val="superscript"/>
          </w:rPr>
          <w:t>9</w:t>
        </w:r>
      </w:hyperlink>
      <w:bookmarkEnd w:id="34"/>
      <w:r>
        <w:rPr>
          <w:rFonts w:ascii="Times New Roman" w:hAnsi="Times New Roman"/>
          <w:color w:val="000000"/>
          <w:sz w:val="20"/>
        </w:rPr>
        <w:t xml:space="preserve"> holds title to the low water mark. The Superior and Supreme Courts noted this law specifically differs from the law in New Jersey. Thus, the New Jersey law on this issue is of no value at all.</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5" w:name="co_pp_sp_999_6_1"/>
      <w:r>
        <w:rPr>
          <w:rFonts w:ascii="Times New Roman" w:hAnsi="Times New Roman"/>
          <w:b/>
          <w:color w:val="000000"/>
          <w:sz w:val="20"/>
        </w:rPr>
        <w:t>*6</w:t>
      </w:r>
      <w:bookmarkEnd w:id="35"/>
      <w:r>
        <w:rPr>
          <w:rFonts w:ascii="Times New Roman" w:hAnsi="Times New Roman"/>
          <w:color w:val="000000"/>
          <w:sz w:val="20"/>
        </w:rPr>
        <w:t xml:space="preserve"> The Court has ample authority in Delaware on the public trust doctrine. Although the private landowner owns the foreshore, the public does have certain limited rights superior to those of the private owners. These rights are what constitute the public trust doctrine. They are the right to navigate and fish over the foreshore and the State's police power, including the protection of life, health, comfort, and property or the promotion of public order, morals, safety, and welfare. </w:t>
      </w:r>
      <w:hyperlink r:id="r42">
        <w:r>
          <w:rPr>
            <w:rFonts w:ascii="Times New Roman" w:hAnsi="Times New Roman"/>
            <w:i/>
            <w:color w:val="000000"/>
            <w:sz w:val="20"/>
          </w:rPr>
          <w:t>State v. Pennsylvania Railroad Company,</w:t>
        </w:r>
        <w:r>
          <w:rPr>
            <w:rFonts w:ascii="Times New Roman" w:hAnsi="Times New Roman"/>
            <w:color w:val="000000"/>
            <w:sz w:val="20"/>
          </w:rPr>
          <w:t xml:space="preserve"> Del.Super., 237 A.2d 579, 580 (1967)</w:t>
        </w:r>
      </w:hyperlink>
      <w:r>
        <w:rPr>
          <w:rFonts w:ascii="Times New Roman" w:hAnsi="Times New Roman"/>
          <w:color w:val="000000"/>
          <w:sz w:val="20"/>
        </w:rPr>
        <w:t xml:space="preserve">, </w:t>
      </w:r>
      <w:r>
        <w:rPr>
          <w:rFonts w:ascii="Times New Roman" w:hAnsi="Times New Roman"/>
          <w:i/>
          <w:color w:val="000000"/>
          <w:sz w:val="20"/>
        </w:rPr>
        <w:t xml:space="preserve">aff'd., State ex rel. Buckson v. Pennsylvania Railroad Co., supra; </w:t>
      </w:r>
      <w:hyperlink r:id="r43">
        <w:r>
          <w:rPr>
            <w:rFonts w:ascii="Times New Roman" w:hAnsi="Times New Roman"/>
            <w:color w:val="000000"/>
            <w:sz w:val="30"/>
          </w:rPr>
          <w:drawing>
            <wp:inline>
              <wp:extent cx="161925" cy="161925"/>
              <wp:docPr id="13" name="Picture 1"/>
              <a:graphic>
                <a:graphicData uri="http://schemas.openxmlformats.org/drawingml/2006/picture">
                  <p:pic>
                    <p:nvPicPr>
                      <p:cNvPr id="14" name="Picture 1"/>
                      <p:cNvPicPr/>
                    </p:nvPicPr>
                    <p:blipFill>
                      <a:blip r:embed="r18"/>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State v. Pennsylvania Railroad Company, supra,</w:t>
        </w:r>
        <w:r>
          <w:rPr>
            <w:rFonts w:ascii="Times New Roman" w:hAnsi="Times New Roman"/>
            <w:color w:val="000000"/>
            <w:sz w:val="20"/>
          </w:rPr>
          <w:t xml:space="preserve"> 228 A.2d at 604;</w:t>
        </w:r>
      </w:hyperlink>
      <w:r>
        <w:rPr>
          <w:rFonts w:ascii="Times New Roman" w:hAnsi="Times New Roman"/>
          <w:color w:val="000000"/>
          <w:sz w:val="20"/>
        </w:rPr>
        <w:t xml:space="preserve"> </w:t>
      </w:r>
      <w:hyperlink r:id="r45">
        <w:r>
          <w:rPr>
            <w:rFonts w:ascii="Times New Roman" w:hAnsi="Times New Roman"/>
            <w:color w:val="000000"/>
            <w:sz w:val="30"/>
          </w:rPr>
          <w:drawing>
            <wp:inline>
              <wp:extent cx="161925" cy="161925"/>
              <wp:docPr id="15" name="Picture 1"/>
              <a:graphic>
                <a:graphicData uri="http://schemas.openxmlformats.org/drawingml/2006/picture">
                  <p:pic>
                    <p:nvPicPr>
                      <p:cNvPr id="16" name="Picture 1"/>
                      <p:cNvPicPr/>
                    </p:nvPicPr>
                    <p:blipFill>
                      <a:blip r:embed="r18"/>
                      <a:srcRect/>
                      <a:stretch>
                        <a:fillRect/>
                      </a:stretch>
                    </p:blipFill>
                    <p:spPr>
                      <a:xfrm>
                        <a:off x="0" y="0"/>
                        <a:ext cx="161925" cy="161925"/>
                      </a:xfrm>
                      <a:prstGeom prst="rect"/>
                    </p:spPr>
                  </p:pic>
                </a:graphicData>
              </a:graphic>
            </wp:inline>
          </w:drawing>
        </w:r>
      </w:hyperlink>
      <w:hyperlink r:id="r46">
        <w:r>
          <w:rPr>
            <w:rFonts w:ascii="Times New Roman" w:hAnsi="Times New Roman"/>
            <w:i/>
            <w:color w:val="000000"/>
            <w:sz w:val="20"/>
          </w:rPr>
          <w:t>Bickel v. Polk,</w:t>
        </w:r>
        <w:r>
          <w:rPr>
            <w:rFonts w:ascii="Times New Roman" w:hAnsi="Times New Roman"/>
            <w:color w:val="000000"/>
            <w:sz w:val="20"/>
          </w:rPr>
          <w:t xml:space="preserve"> Del.Super., 5 Harr. 325 (1851)</w:t>
        </w:r>
      </w:hyperlink>
      <w:r>
        <w:rPr>
          <w:rFonts w:ascii="Times New Roman" w:hAnsi="Times New Roman"/>
          <w:color w:val="000000"/>
          <w:sz w:val="20"/>
        </w:rPr>
        <w:t xml:space="preserve">; </w:t>
      </w:r>
      <w:r>
        <w:rPr>
          <w:rFonts w:ascii="Times New Roman" w:hAnsi="Times New Roman"/>
          <w:i/>
          <w:color w:val="000000"/>
          <w:sz w:val="20"/>
        </w:rPr>
        <w:t>Oceanport Industries, Inc. v. Delaware,</w:t>
      </w:r>
      <w:r>
        <w:rPr>
          <w:rFonts w:ascii="Times New Roman" w:hAnsi="Times New Roman"/>
          <w:color w:val="000000"/>
          <w:sz w:val="20"/>
        </w:rPr>
        <w:t xml:space="preserve"> Del.Ch., C.A. No. 12553, Jacobs, V.C. (May 18, 1993) at 7. There does not and never has existed, as a part of this doctrine in Delaware, a right of the public superior to the landowner to access to the foreshore for walking and/or recreational activities.</w:t>
      </w:r>
      <w:r>
        <w:rPr>
          <w:rFonts w:ascii="Times New Roman" w:hAnsi="Times New Roman"/>
          <w:color w:val="000000"/>
          <w:sz w:val="20"/>
        </w:rPr>
        <w:t xml:space="preserve"> The private rights of ownership may not be taken absent just compensation as mandated by the United States and Delaware constitutions. </w:t>
      </w:r>
      <w:hyperlink r:id="r47">
        <w:r>
          <w:rPr>
            <w:rFonts w:ascii="Times New Roman" w:hAnsi="Times New Roman"/>
            <w:color w:val="000000"/>
            <w:sz w:val="30"/>
          </w:rPr>
          <w:drawing>
            <wp:inline>
              <wp:extent cx="161925" cy="161925"/>
              <wp:docPr id="17" name="Picture 1"/>
              <a:graphic>
                <a:graphicData uri="http://schemas.openxmlformats.org/drawingml/2006/picture">
                  <p:pic>
                    <p:nvPicPr>
                      <p:cNvPr id="18" name="Picture 1"/>
                      <p:cNvPicPr/>
                    </p:nvPicPr>
                    <p:blipFill>
                      <a:blip r:embed="r18"/>
                      <a:srcRect/>
                      <a:stretch>
                        <a:fillRect/>
                      </a:stretch>
                    </p:blipFill>
                    <p:spPr>
                      <a:xfrm>
                        <a:off x="0" y="0"/>
                        <a:ext cx="161925" cy="161925"/>
                      </a:xfrm>
                      <a:prstGeom prst="rect"/>
                    </p:spPr>
                  </p:pic>
                </a:graphicData>
              </a:graphic>
            </wp:inline>
          </w:drawing>
        </w:r>
      </w:hyperlink>
      <w:hyperlink r:id="r48">
        <w:r>
          <w:rPr>
            <w:rFonts w:ascii="Times New Roman" w:hAnsi="Times New Roman"/>
            <w:i/>
            <w:color w:val="000000"/>
            <w:sz w:val="20"/>
          </w:rPr>
          <w:t>Wilmington v. Parcel of Land,</w:t>
        </w:r>
        <w:r>
          <w:rPr>
            <w:rFonts w:ascii="Times New Roman" w:hAnsi="Times New Roman"/>
            <w:color w:val="000000"/>
            <w:sz w:val="20"/>
          </w:rPr>
          <w:t xml:space="preserve"> Del.Supr., 607 A.2d 1163, 1168 (1992)</w:t>
        </w:r>
      </w:hyperlink>
      <w:r>
        <w:rPr>
          <w:rFonts w:ascii="Times New Roman" w:hAnsi="Times New Roman"/>
          <w:color w:val="000000"/>
          <w:sz w:val="20"/>
        </w:rPr>
        <w:t xml:space="preserve">. If the Court or Legislature recognizes this right of the public superior to the landowner to access to the foreshore for walking and/or recreational activities, then the State will have to compensate the affected landowners for a takings. </w:t>
      </w:r>
      <w:r>
        <w:rPr>
          <w:rFonts w:ascii="Times New Roman" w:hAnsi="Times New Roman"/>
          <w:i/>
          <w:color w:val="000000"/>
          <w:sz w:val="20"/>
        </w:rPr>
        <w:t xml:space="preserve">See id.; </w:t>
      </w:r>
      <w:hyperlink r:id="r49">
        <w:r>
          <w:rPr>
            <w:rFonts w:ascii="Times New Roman" w:hAnsi="Times New Roman"/>
            <w:color w:val="000000"/>
            <w:sz w:val="30"/>
          </w:rPr>
          <w:drawing>
            <wp:inline>
              <wp:extent cx="161925" cy="161925"/>
              <wp:docPr id="19" name="Picture 1"/>
              <a:graphic>
                <a:graphicData uri="http://schemas.openxmlformats.org/drawingml/2006/picture">
                  <p:pic>
                    <p:nvPicPr>
                      <p:cNvPr id="20" name="Picture 1"/>
                      <p:cNvPicPr/>
                    </p:nvPicPr>
                    <p:blipFill>
                      <a:blip r:embed="r18"/>
                      <a:srcRect/>
                      <a:stretch>
                        <a:fillRect/>
                      </a:stretch>
                    </p:blipFill>
                    <p:spPr>
                      <a:xfrm>
                        <a:off x="0" y="0"/>
                        <a:ext cx="161925" cy="161925"/>
                      </a:xfrm>
                      <a:prstGeom prst="rect"/>
                    </p:spPr>
                  </p:pic>
                </a:graphicData>
              </a:graphic>
            </wp:inline>
          </w:drawing>
        </w:r>
      </w:hyperlink>
      <w:hyperlink r:id="r50">
        <w:r>
          <w:rPr>
            <w:rFonts w:ascii="Times New Roman" w:hAnsi="Times New Roman"/>
            <w:i/>
            <w:color w:val="000000"/>
            <w:sz w:val="20"/>
          </w:rPr>
          <w:t>State v. Putman,</w:t>
        </w:r>
        <w:r>
          <w:rPr>
            <w:rFonts w:ascii="Times New Roman" w:hAnsi="Times New Roman"/>
            <w:color w:val="000000"/>
            <w:sz w:val="20"/>
          </w:rPr>
          <w:t xml:space="preserve"> Del.Super., 552 A.2d 1247, 1251-54</w:t>
        </w:r>
      </w:hyperlink>
      <w:r>
        <w:rPr>
          <w:rFonts w:ascii="Times New Roman" w:hAnsi="Times New Roman"/>
          <w:color w:val="000000"/>
          <w:sz w:val="20"/>
        </w:rPr>
        <w:t xml:space="preserve"> (</w:t>
      </w:r>
      <w:r>
        <w:rPr>
          <w:rFonts w:ascii="Times New Roman" w:hAnsi="Times New Roman"/>
          <w:i/>
          <w:color w:val="000000"/>
          <w:sz w:val="20"/>
        </w:rPr>
        <w:t>dictum</w:t>
      </w:r>
      <w:r>
        <w:rPr>
          <w:rFonts w:ascii="Times New Roman" w:hAnsi="Times New Roman"/>
          <w:color w:val="000000"/>
          <w:sz w:val="20"/>
        </w:rPr>
        <w:t xml:space="preserve"> ).</w:t>
      </w:r>
      <w:bookmarkStart w:id="36" w:name="co_fnRef_B010101994069309_ID0E6HAG_1"/>
      <w:hyperlink w:anchor="co_footnote_B010101994069309_1">
        <w:r>
          <w:rPr>
            <w:rFonts w:ascii="Times New Roman" w:hAnsi="Times New Roman"/>
            <w:color w:val="000000"/>
            <w:sz w:val="16"/>
            <w:vertAlign w:val="superscript"/>
          </w:rPr>
          <w:t>10</w:t>
        </w:r>
      </w:hyperlink>
      <w:bookmarkEnd w:id="3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public interest which Mr. Groves argues the DNREC should have been bound to have considered does not exist. Accordingly, it was error for it to have been weighed by anyone at any level. Since it should not have been weighed, Mr. Groves argument that it was not appropriately considered fails.</w:t>
      </w:r>
    </w:p>
    <w:p>
      <w:pPr>
        <w:spacing w:before="0" w:after="0" w:line="275" w:lineRule="atLeast"/>
        <w:jc w:val="both"/>
      </w:pPr>
      <w:r>
        <w:rPr>
          <w:rFonts w:ascii="Times New Roman" w:hAnsi="Times New Roman"/>
          <w:color w:val="000000"/>
          <w:sz w:val="20"/>
        </w:rPr>
        <w:t> </w:t>
      </w:r>
    </w:p>
    <w:bookmarkStart w:id="37" w:name="co_anchor_I4cf375b497c811de9b8c85033233"/>
    <w:bookmarkStart w:id="38" w:name="co_anchor_I4cf375b497c811de9b8c850332"/>
    <w:p>
      <w:pPr>
        <w:spacing w:before="400" w:after="0" w:line="275" w:lineRule="atLeast"/>
      </w:pPr>
      <w:r>
        <w:rPr>
          <w:rFonts w:ascii="Times New Roman" w:hAnsi="Times New Roman"/>
          <w:color w:val="000000"/>
          <w:sz w:val="20"/>
        </w:rPr>
        <w:t>B. Approval of Rip-rap as Appropriate Erosion Control Measure</w:t>
      </w:r>
    </w:p>
    <w:bookmarkEnd w:id="38"/>
    <w:bookmarkEnd w:id="37"/>
    <w:p>
      <w:pPr>
        <w:spacing w:before="0" w:after="0" w:line="275" w:lineRule="atLeast"/>
        <w:jc w:val="both"/>
      </w:pPr>
      <w:r>
        <w:rPr>
          <w:rFonts w:ascii="Times New Roman" w:hAnsi="Times New Roman"/>
          <w:color w:val="000000"/>
          <w:sz w:val="20"/>
        </w:rPr>
        <w:t>The final argument advanced is that the record fails to establish the DNREC gave sufficient consideration to alternative and mitigating measures of erosion control. Mr. Groves' argument concerning mitigation is based on the premise he has a right to walk and recreate on the foreshore. Because this premise fails, his entire mitigation argument fails.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final issue is whether alternative methods of erosion control were reviewed. Ms. Skrabal, an employee of the DNREC, testified other methods were considered and rejected. The Board accepted her testimony. The Board obviously rejected the testimony of Mr. Groves' witnesses that other alternatives would be more suited for this location, and it expressly held rip-rap was the most appropriate form of erosion control. The testimony of Ms. Skrabal and of Ms. Mertes' witnesses support this conclusion. Where, as here, substantial evidence supports the Board's determinations, its credibility and conflict determinations bind the Court. </w:t>
      </w:r>
      <w:hyperlink r:id="r51">
        <w:r>
          <w:rPr>
            <w:rFonts w:ascii="Times New Roman" w:hAnsi="Times New Roman"/>
            <w:i/>
            <w:color w:val="000000"/>
            <w:sz w:val="20"/>
          </w:rPr>
          <w:t>Longobardi v. Unemployment Insurance Appeal Bd.,</w:t>
        </w:r>
        <w:r>
          <w:rPr>
            <w:rFonts w:ascii="Times New Roman" w:hAnsi="Times New Roman"/>
            <w:color w:val="000000"/>
            <w:sz w:val="20"/>
          </w:rPr>
          <w:t xml:space="preserve"> Del.Super., 287 A.2d 690, 692 (1971)</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52">
        <w:r>
          <w:rPr>
            <w:rFonts w:ascii="Times New Roman" w:hAnsi="Times New Roman"/>
            <w:color w:val="000000"/>
            <w:sz w:val="20"/>
          </w:rPr>
          <w:t>Del.Supr., 293 A.2d 295 (1972)</w:t>
        </w:r>
      </w:hyperlink>
      <w:r>
        <w:rPr>
          <w:rFonts w:ascii="Times New Roman" w:hAnsi="Times New Roman"/>
          <w:color w:val="000000"/>
          <w:sz w:val="20"/>
        </w:rPr>
        <w:t>. Consequently, Mr. Groves' final argument fails.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9" w:name="co_pp_sp_999_7_1"/>
      <w:r>
        <w:rPr>
          <w:rFonts w:ascii="Times New Roman" w:hAnsi="Times New Roman"/>
          <w:b/>
          <w:color w:val="000000"/>
          <w:sz w:val="20"/>
        </w:rPr>
        <w:t>*7</w:t>
      </w:r>
      <w:bookmarkEnd w:id="39"/>
      <w:r>
        <w:rPr>
          <w:rFonts w:ascii="Times New Roman" w:hAnsi="Times New Roman"/>
          <w:color w:val="000000"/>
          <w:sz w:val="20"/>
        </w:rPr>
        <w:t xml:space="preserve"> Based on the foregoing conclusions, the Court affirms the Board's decision affirming the issuance of the permit to Ms. Mertes to install rip-rap revetment on the foreshore of her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IS SO ORDERED.</w:t>
      </w:r>
    </w:p>
    <w:p>
      <w:pPr>
        <w:spacing w:before="0" w:after="0" w:line="275" w:lineRule="atLeast"/>
        <w:jc w:val="both"/>
      </w:pPr>
      <w:r>
        <w:rPr>
          <w:rFonts w:ascii="Times New Roman" w:hAnsi="Times New Roman"/>
          <w:color w:val="000000"/>
          <w:sz w:val="20"/>
        </w:rPr>
        <w:t> </w:t>
      </w:r>
    </w:p>
    <w:bookmarkStart w:id="40" w:name="co_allCitations_1"/>
    <w:p>
      <w:pPr>
        <w:keepNext/>
        <w:keepLines/>
        <w:spacing w:before="200" w:after="0" w:line="275" w:lineRule="atLeast"/>
        <w:jc w:val="both"/>
      </w:pPr>
      <w:r>
        <w:rPr>
          <w:rFonts w:ascii="Times New Roman" w:hAnsi="Times New Roman"/>
          <w:b/>
          <w:color w:val="212121"/>
          <w:sz w:val="20"/>
        </w:rPr>
        <w:t>All Citations</w:t>
      </w:r>
    </w:p>
    <w:bookmarkEnd w:id="40"/>
    <w:p>
      <w:pPr>
        <w:spacing w:before="200" w:after="0" w:line="275" w:lineRule="atLeast"/>
        <w:jc w:val="both"/>
      </w:pPr>
      <w:r>
        <w:rPr>
          <w:rFonts w:ascii="Times New Roman" w:hAnsi="Times New Roman"/>
          <w:color w:val="000000"/>
          <w:sz w:val="20"/>
        </w:rPr>
        <w:t>Not Reported in A.2d, 1994 WL 89804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tcMar>
              <w:left w:w="36" w:type="dxa"/>
              <w:right w:w="36" w:type="dxa"/>
            </w:tcMar>
            <w:vAlign w:val="top"/>
          </w:tcPr>
          <w:p>
            <w:pPr>
              <w:spacing w:before="0" w:after="0" w:line="240" w:lineRule="auto"/>
              <w:rPr>
                <w:rFonts w:ascii="Times New Roman" w:hAnsi="Times New Roman"/>
                <w:color w:val="000000"/>
                <w:sz w:val="24"/>
              </w:rPr>
            </w:pPr>
          </w:p>
        </w:tc>
        <w:tc>
          <w:tcPr>
            <w:vAlign w:val="top"/>
          </w:tcPr>
          <w:p>
            <w:pPr>
              <w:pBdr>
                <w:left w:val="none" w:space="10"/>
              </w:pBdr>
              <w:spacing w:before="0" w:after="0" w:line="275" w:lineRule="atLeast"/>
              <w:ind w:left="200" w:right="0" w:firstLine="0"/>
              <w:jc w:val="both"/>
            </w:pPr>
            <w:r>
              <w:rPr>
                <w:rFonts w:ascii="Times New Roman" w:hAnsi="Times New Roman"/>
                <w:color w:val="000000"/>
                <w:sz w:val="20"/>
              </w:rPr>
              <w:t xml:space="preserve">*Under the public trust doctrine, </w:t>
            </w:r>
            <w:r>
              <w:rPr>
                <w:rFonts w:ascii="Times New Roman" w:hAnsi="Times New Roman"/>
                <w:i/>
                <w:color w:val="000000"/>
                <w:sz w:val="20"/>
              </w:rPr>
              <w:t>the State owns the land over which tidal waters flow</w:t>
            </w:r>
            <w:r>
              <w:rPr>
                <w:rFonts w:ascii="Times New Roman" w:hAnsi="Times New Roman"/>
                <w:color w:val="000000"/>
                <w:sz w:val="20"/>
              </w:rPr>
              <w:t xml:space="preserve"> and the State holds these lands in trust for the people, who have the right to use these lands for navigation, fishing and other recreational uses. The genesis of this doctrine can be traced to Roman jurisprudence. </w:t>
            </w:r>
            <w:hyperlink r:id="r53">
              <w:r>
                <w:rPr>
                  <w:rFonts w:ascii="Times New Roman" w:hAnsi="Times New Roman"/>
                  <w:color w:val="000000"/>
                  <w:sz w:val="30"/>
                </w:rPr>
                <w:drawing>
                  <wp:inline>
                    <wp:extent cx="161925" cy="161925"/>
                    <wp:docPr id="21" name="Picture 1"/>
                    <a:graphic>
                      <a:graphicData uri="http://schemas.openxmlformats.org/drawingml/2006/picture">
                        <p:pic>
                          <p:nvPicPr>
                            <p:cNvPr id="22" name="Picture 1"/>
                            <p:cNvPicPr/>
                          </p:nvPicPr>
                          <p:blipFill>
                            <a:blip r:embed="r18"/>
                            <a:srcRect/>
                            <a:stretch>
                              <a:fillRect/>
                            </a:stretch>
                          </p:blipFill>
                          <p:spPr>
                            <a:xfrm>
                              <a:off x="0" y="0"/>
                              <a:ext cx="161925" cy="161925"/>
                            </a:xfrm>
                            <a:prstGeom prst="rect"/>
                          </p:spPr>
                        </p:pic>
                      </a:graphicData>
                    </a:graphic>
                  </wp:inline>
                </w:drawing>
              </w:r>
            </w:hyperlink>
            <w:hyperlink r:id="r54">
              <w:r>
                <w:rPr>
                  <w:rFonts w:ascii="Times New Roman" w:hAnsi="Times New Roman"/>
                  <w:i/>
                  <w:color w:val="000000"/>
                  <w:sz w:val="20"/>
                </w:rPr>
                <w:t>Matthews v. Bay Head Improvement Assoc.,</w:t>
              </w:r>
              <w:r>
                <w:rPr>
                  <w:rFonts w:ascii="Times New Roman" w:hAnsi="Times New Roman"/>
                  <w:color w:val="000000"/>
                  <w:sz w:val="20"/>
                </w:rPr>
                <w:t xml:space="preserve"> 471 A.2d 355, 358-60 (N.J.Supr.1984)</w:t>
              </w:r>
            </w:hyperlink>
            <w:r>
              <w:rPr>
                <w:rFonts w:ascii="Times New Roman" w:hAnsi="Times New Roman"/>
                <w:color w:val="000000"/>
                <w:sz w:val="20"/>
              </w:rPr>
              <w:t>. This doctrine grants rights to all the people in the State; it is not limited to individuals who own property close to the beach. [Emphasis added.]”</w:t>
            </w:r>
          </w:p>
        </w:tc>
      </w:tr>
      <w:tr>
        <w:tblPrEx/>
        <w:trPr/>
        <w:tc>
          <w:tcPr>
            <w:vAlign w:val="top"/>
          </w:tcPr>
          <w:p>
            <w:pPr>
              <w:spacing w:before="0" w:after="0" w:line="275" w:lineRule="atLeast"/>
            </w:pPr>
            <w:bookmarkStart w:id="41" w:name="co_footnote_B00111994069309_1"/>
            <w:hyperlink w:anchor="co_fnRef_B00111994069309_ID0EOGAC_1">
              <w:r>
                <w:rPr>
                  <w:rFonts w:ascii="Times New Roman" w:hAnsi="Times New Roman"/>
                  <w:color w:val="000000"/>
                  <w:sz w:val="20"/>
                  <w:vertAlign w:val="superscript"/>
                </w:rPr>
                <w:t>1</w:t>
              </w:r>
            </w:hyperlink>
            <w:bookmarkEnd w:id="41"/>
          </w:p>
        </w:tc>
        <w:tc>
          <w:tcPr>
            <w:vAlign w:val="top"/>
          </w:tcPr>
          <w:p>
            <w:pPr>
              <w:spacing w:before="0" w:after="0" w:line="275" w:lineRule="atLeast"/>
              <w:jc w:val="both"/>
            </w:pPr>
            <w:hyperlink r:id="r55">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7205(a)</w:t>
              </w:r>
            </w:hyperlink>
            <w:r>
              <w:rPr>
                <w:rFonts w:ascii="Times New Roman" w:hAnsi="Times New Roman"/>
                <w:color w:val="000000"/>
                <w:sz w:val="20"/>
              </w:rPr>
              <w:t xml:space="preserve"> provides in pertinent part:</w:t>
            </w:r>
          </w:p>
          <w:p>
            <w:pPr>
              <w:spacing w:before="0" w:after="0" w:line="275" w:lineRule="atLeast"/>
              <w:ind w:left="480" w:right="480" w:firstLine="0"/>
              <w:jc w:val="both"/>
            </w:pPr>
            <w:r>
              <w:rPr>
                <w:rFonts w:ascii="Times New Roman" w:hAnsi="Times New Roman"/>
                <w:color w:val="000000"/>
                <w:sz w:val="20"/>
              </w:rPr>
              <w:t>“No person shall ... construct ... any structure ... upon submerged lands or tidelands without first having obtained a permit ... from the Department. Such permit ..., if granted, may include reasonable conditions required in the judgment of the Department to protect the interests of the public.... If it is determined that granting the permit ... will result in loss to the public of a substantial resource, the permittee may be required to take measures which will offset or mitigate the loss.”</w:t>
            </w:r>
          </w:p>
        </w:tc>
      </w:tr>
      <w:tr>
        <w:tblPrEx/>
        <w:trPr/>
        <w:tc>
          <w:tcPr>
            <w:vAlign w:val="top"/>
          </w:tcPr>
          <w:p>
            <w:pPr>
              <w:spacing w:before="0" w:after="0" w:line="275" w:lineRule="atLeast"/>
            </w:pPr>
            <w:bookmarkStart w:id="42" w:name="co_footnote_B00221994069309_1"/>
            <w:hyperlink w:anchor="co_fnRef_B00221994069309_ID0EAMAC_1">
              <w:r>
                <w:rPr>
                  <w:rFonts w:ascii="Times New Roman" w:hAnsi="Times New Roman"/>
                  <w:color w:val="000000"/>
                  <w:sz w:val="20"/>
                  <w:vertAlign w:val="superscript"/>
                </w:rPr>
                <w:t>2</w:t>
              </w:r>
            </w:hyperlink>
            <w:bookmarkEnd w:id="42"/>
          </w:p>
        </w:tc>
        <w:tc>
          <w:tcPr>
            <w:vAlign w:val="top"/>
          </w:tcPr>
          <w:p>
            <w:pPr>
              <w:spacing w:before="0" w:after="0" w:line="275" w:lineRule="atLeast"/>
              <w:jc w:val="both"/>
            </w:pPr>
            <w:r>
              <w:rPr>
                <w:rFonts w:ascii="Times New Roman" w:hAnsi="Times New Roman"/>
                <w:color w:val="000000"/>
                <w:sz w:val="20"/>
              </w:rPr>
              <w:t>After all was said and done and while this case was on appeal, the Department decided this interpretation was wrong, maintained a public hearing should have been held, and cavalierly “argued” the failure to hold a public hearing requires this Court to reverse the Board's decision.</w:t>
            </w:r>
          </w:p>
        </w:tc>
      </w:tr>
      <w:tr>
        <w:tblPrEx/>
        <w:trPr/>
        <w:tc>
          <w:tcPr>
            <w:vAlign w:val="top"/>
          </w:tcPr>
          <w:p>
            <w:pPr>
              <w:spacing w:before="0" w:after="0" w:line="275" w:lineRule="atLeast"/>
            </w:pPr>
            <w:bookmarkStart w:id="43" w:name="co_footnote_B00331994069309_1"/>
            <w:hyperlink w:anchor="co_fnRef_B00331994069309_ID0EVPAC_1">
              <w:r>
                <w:rPr>
                  <w:rFonts w:ascii="Times New Roman" w:hAnsi="Times New Roman"/>
                  <w:color w:val="000000"/>
                  <w:sz w:val="20"/>
                  <w:vertAlign w:val="superscript"/>
                </w:rPr>
                <w:t>3</w:t>
              </w:r>
            </w:hyperlink>
            <w:bookmarkEnd w:id="43"/>
          </w:p>
        </w:tc>
        <w:tc>
          <w:tcPr>
            <w:vAlign w:val="top"/>
          </w:tcPr>
          <w:p>
            <w:pPr>
              <w:spacing w:before="0" w:after="0" w:line="275" w:lineRule="atLeast"/>
              <w:jc w:val="both"/>
            </w:pPr>
            <w:r>
              <w:rPr>
                <w:rFonts w:ascii="Times New Roman" w:hAnsi="Times New Roman"/>
                <w:color w:val="000000"/>
                <w:sz w:val="20"/>
              </w:rPr>
              <w:t>The Secretary issued a permit to Ms. Mertes' neighbor, but the neighbor decided not to install the rip-rap for the time being.</w:t>
            </w:r>
          </w:p>
        </w:tc>
      </w:tr>
      <w:tr>
        <w:tblPrEx/>
        <w:trPr/>
        <w:tc>
          <w:tcPr>
            <w:vAlign w:val="top"/>
          </w:tcPr>
          <w:p>
            <w:pPr>
              <w:spacing w:before="0" w:after="0" w:line="275" w:lineRule="atLeast"/>
            </w:pPr>
            <w:bookmarkStart w:id="44" w:name="co_footnote_B00441994069309_1"/>
            <w:hyperlink w:anchor="co_fnRef_B00441994069309_ID0EFAAE_1">
              <w:r>
                <w:rPr>
                  <w:rFonts w:ascii="Times New Roman" w:hAnsi="Times New Roman"/>
                  <w:color w:val="000000"/>
                  <w:sz w:val="20"/>
                  <w:vertAlign w:val="superscript"/>
                </w:rPr>
                <w:t>4</w:t>
              </w:r>
            </w:hyperlink>
            <w:bookmarkEnd w:id="44"/>
          </w:p>
        </w:tc>
        <w:tc>
          <w:tcPr>
            <w:vAlign w:val="top"/>
          </w:tcPr>
          <w:p>
            <w:pPr>
              <w:spacing w:before="0" w:after="0" w:line="275" w:lineRule="atLeast"/>
              <w:jc w:val="both"/>
            </w:pPr>
            <w:r>
              <w:rPr>
                <w:rFonts w:ascii="Times New Roman" w:hAnsi="Times New Roman"/>
                <w:color w:val="000000"/>
                <w:sz w:val="20"/>
              </w:rPr>
              <w:t>There were problems with compliance with the permit. However, those problems were not matters which the Board addressed or which this Court will address.</w:t>
            </w:r>
          </w:p>
        </w:tc>
      </w:tr>
      <w:tr>
        <w:tblPrEx/>
        <w:trPr/>
        <w:tc>
          <w:tcPr>
            <w:vAlign w:val="top"/>
          </w:tcPr>
          <w:p>
            <w:pPr>
              <w:spacing w:before="0" w:after="0" w:line="275" w:lineRule="atLeast"/>
            </w:pPr>
            <w:bookmarkStart w:id="45" w:name="co_footnote_B00551994069309_1"/>
            <w:hyperlink w:anchor="co_fnRef_B00551994069309_ID0ELBAE_1">
              <w:r>
                <w:rPr>
                  <w:rFonts w:ascii="Times New Roman" w:hAnsi="Times New Roman"/>
                  <w:color w:val="000000"/>
                  <w:sz w:val="20"/>
                  <w:vertAlign w:val="superscript"/>
                </w:rPr>
                <w:t>5</w:t>
              </w:r>
            </w:hyperlink>
            <w:bookmarkEnd w:id="45"/>
          </w:p>
        </w:tc>
        <w:tc>
          <w:tcPr>
            <w:vAlign w:val="top"/>
          </w:tcPr>
          <w:p>
            <w:pPr>
              <w:spacing w:before="0" w:after="0" w:line="275" w:lineRule="atLeast"/>
              <w:jc w:val="both"/>
            </w:pPr>
            <w:r>
              <w:rPr>
                <w:rFonts w:ascii="Times New Roman" w:hAnsi="Times New Roman"/>
                <w:color w:val="000000"/>
                <w:sz w:val="20"/>
              </w:rPr>
              <w:t xml:space="preserve">In </w:t>
            </w:r>
            <w:hyperlink r:id="r56">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7210</w:t>
              </w:r>
            </w:hyperlink>
            <w:r>
              <w:rPr>
                <w:rFonts w:ascii="Times New Roman" w:hAnsi="Times New Roman"/>
                <w:color w:val="000000"/>
                <w:sz w:val="20"/>
              </w:rPr>
              <w:t>, it is provided in pertinent part:</w:t>
            </w:r>
          </w:p>
          <w:p>
            <w:pPr>
              <w:spacing w:before="0" w:after="0" w:line="275" w:lineRule="atLeast"/>
              <w:ind w:left="480" w:right="480" w:firstLine="0"/>
              <w:jc w:val="both"/>
            </w:pPr>
            <w:r>
              <w:rPr>
                <w:rFonts w:ascii="Times New Roman" w:hAnsi="Times New Roman"/>
                <w:color w:val="000000"/>
                <w:sz w:val="20"/>
              </w:rPr>
              <w:t xml:space="preserve">“Any person whose interest is substantially affected by any action of the Secretary or of the Department taken pursuant to this chapter, may appeal to the Environmental Appeals Board ... within 20 days after the announcement of the decision. Such appeal shall be governed by </w:t>
            </w:r>
            <w:hyperlink r:id="r57">
              <w:r>
                <w:rPr>
                  <w:rFonts w:ascii="Times New Roman" w:hAnsi="Times New Roman"/>
                  <w:color w:val="000000"/>
                  <w:sz w:val="20"/>
                </w:rPr>
                <w:t>§§ 6008</w:t>
              </w:r>
            </w:hyperlink>
            <w:r>
              <w:rPr>
                <w:rFonts w:ascii="Times New Roman" w:hAnsi="Times New Roman"/>
                <w:color w:val="000000"/>
                <w:sz w:val="20"/>
              </w:rPr>
              <w:t xml:space="preserve"> and </w:t>
            </w:r>
            <w:hyperlink r:id="r58">
              <w:r>
                <w:rPr>
                  <w:rFonts w:ascii="Times New Roman" w:hAnsi="Times New Roman"/>
                  <w:color w:val="000000"/>
                  <w:sz w:val="20"/>
                </w:rPr>
                <w:t>6009</w:t>
              </w:r>
            </w:hyperlink>
            <w:r>
              <w:rPr>
                <w:rFonts w:ascii="Times New Roman" w:hAnsi="Times New Roman"/>
                <w:color w:val="000000"/>
                <w:sz w:val="20"/>
              </w:rPr>
              <w:t xml:space="preserve"> of this title.”</w:t>
            </w:r>
          </w:p>
        </w:tc>
      </w:tr>
      <w:tr>
        <w:tblPrEx/>
        <w:trPr/>
        <w:tc>
          <w:tcPr>
            <w:vAlign w:val="top"/>
          </w:tcPr>
          <w:p>
            <w:pPr>
              <w:spacing w:before="0" w:after="0" w:line="275" w:lineRule="atLeast"/>
            </w:pPr>
            <w:bookmarkStart w:id="46" w:name="co_footnote_B00661994069309_1"/>
            <w:hyperlink w:anchor="co_fnRef_B00661994069309_ID0EEDAE_1">
              <w:r>
                <w:rPr>
                  <w:rFonts w:ascii="Times New Roman" w:hAnsi="Times New Roman"/>
                  <w:color w:val="000000"/>
                  <w:sz w:val="20"/>
                  <w:vertAlign w:val="superscript"/>
                </w:rPr>
                <w:t>6</w:t>
              </w:r>
            </w:hyperlink>
            <w:bookmarkEnd w:id="46"/>
          </w:p>
        </w:tc>
        <w:tc>
          <w:tcPr>
            <w:vAlign w:val="top"/>
          </w:tcPr>
          <w:p>
            <w:pPr>
              <w:spacing w:before="0" w:after="0" w:line="275" w:lineRule="atLeast"/>
              <w:jc w:val="both"/>
            </w:pPr>
            <w:r>
              <w:rPr>
                <w:rFonts w:ascii="Times New Roman" w:hAnsi="Times New Roman"/>
                <w:color w:val="000000"/>
                <w:sz w:val="20"/>
              </w:rPr>
              <w:t>There was no contention that the activities on Ms. Mertes' beach created any easement by adverse possession.</w:t>
            </w:r>
          </w:p>
        </w:tc>
      </w:tr>
      <w:tr>
        <w:tblPrEx/>
        <w:trPr/>
        <w:tc>
          <w:tcPr>
            <w:vAlign w:val="top"/>
          </w:tcPr>
          <w:p>
            <w:pPr>
              <w:spacing w:before="0" w:after="0" w:line="275" w:lineRule="atLeast"/>
            </w:pPr>
            <w:bookmarkStart w:id="47" w:name="co_footnote_B00771994069309_1"/>
            <w:hyperlink w:anchor="co_fnRef_B00771994069309_ID0EPSAE_1">
              <w:r>
                <w:rPr>
                  <w:rFonts w:ascii="Times New Roman" w:hAnsi="Times New Roman"/>
                  <w:color w:val="000000"/>
                  <w:sz w:val="20"/>
                  <w:vertAlign w:val="superscript"/>
                </w:rPr>
                <w:t>7</w:t>
              </w:r>
            </w:hyperlink>
            <w:bookmarkEnd w:id="47"/>
          </w:p>
        </w:tc>
        <w:tc>
          <w:tcPr>
            <w:vAlign w:val="top"/>
          </w:tcPr>
          <w:p>
            <w:pPr>
              <w:spacing w:before="0" w:after="0" w:line="275" w:lineRule="atLeast"/>
              <w:jc w:val="both"/>
            </w:pPr>
            <w:r>
              <w:rPr>
                <w:rFonts w:ascii="Times New Roman" w:hAnsi="Times New Roman"/>
                <w:color w:val="000000"/>
                <w:sz w:val="20"/>
              </w:rPr>
              <w:t xml:space="preserve">All referenced statutes appear in Title 7 of </w:t>
            </w:r>
            <w:r>
              <w:rPr>
                <w:rFonts w:ascii="Times New Roman" w:hAnsi="Times New Roman"/>
                <w:i/>
                <w:color w:val="000000"/>
                <w:sz w:val="20"/>
              </w:rPr>
              <w:t>Del.C</w:t>
            </w:r>
            <w:r>
              <w:rPr>
                <w:rFonts w:ascii="Times New Roman" w:hAnsi="Times New Roman"/>
                <w:i/>
                <w:color w:val="000000"/>
                <w:sz w:val="20"/>
              </w:rPr>
              <w:t>.</w:t>
            </w:r>
            <w:r>
              <w:rPr>
                <w:rFonts w:ascii="Times New Roman" w:hAnsi="Times New Roman"/>
                <w:color w:val="000000"/>
                <w:sz w:val="20"/>
              </w:rPr>
              <w:t xml:space="preserve"> unless otherwise indicated.</w:t>
            </w:r>
          </w:p>
        </w:tc>
      </w:tr>
      <w:tr>
        <w:tblPrEx/>
        <w:trPr/>
        <w:tc>
          <w:tcPr>
            <w:vAlign w:val="top"/>
          </w:tcPr>
          <w:p>
            <w:pPr>
              <w:spacing w:before="0" w:after="0" w:line="275" w:lineRule="atLeast"/>
            </w:pPr>
            <w:bookmarkStart w:id="48" w:name="co_footnote_B00881994069309_1"/>
            <w:hyperlink w:anchor="co_fnRef_B00881994069309_ID0ENYAE_1">
              <w:r>
                <w:rPr>
                  <w:rFonts w:ascii="Times New Roman" w:hAnsi="Times New Roman"/>
                  <w:color w:val="000000"/>
                  <w:sz w:val="20"/>
                  <w:vertAlign w:val="superscript"/>
                </w:rPr>
                <w:t>8</w:t>
              </w:r>
            </w:hyperlink>
            <w:bookmarkEnd w:id="48"/>
          </w:p>
        </w:tc>
        <w:tc>
          <w:tcPr>
            <w:vAlign w:val="top"/>
          </w:tcPr>
          <w:p>
            <w:pPr>
              <w:spacing w:before="0" w:after="0" w:line="275" w:lineRule="atLeast"/>
              <w:jc w:val="both"/>
            </w:pPr>
            <w:r>
              <w:rPr>
                <w:rFonts w:ascii="Times New Roman" w:hAnsi="Times New Roman"/>
                <w:color w:val="000000"/>
                <w:sz w:val="20"/>
              </w:rPr>
              <w:t>I note that the parties did not address this issue and the Court did not ask them to brief it. However, the Court researched the issue extensively and determined further briefing by the parties would not have aided it in making its decision on the issue.</w:t>
            </w:r>
          </w:p>
        </w:tc>
      </w:tr>
      <w:tr>
        <w:tblPrEx/>
        <w:trPr/>
        <w:tc>
          <w:tcPr>
            <w:vAlign w:val="top"/>
          </w:tcPr>
          <w:p>
            <w:pPr>
              <w:spacing w:before="0" w:after="0" w:line="275" w:lineRule="atLeast"/>
            </w:pPr>
            <w:bookmarkStart w:id="49" w:name="co_footnote_B00991994069309_1"/>
            <w:hyperlink w:anchor="co_fnRef_B00991994069309_ID0EGCAG_1">
              <w:r>
                <w:rPr>
                  <w:rFonts w:ascii="Times New Roman" w:hAnsi="Times New Roman"/>
                  <w:color w:val="000000"/>
                  <w:sz w:val="20"/>
                  <w:vertAlign w:val="superscript"/>
                </w:rPr>
                <w:t>9</w:t>
              </w:r>
            </w:hyperlink>
            <w:bookmarkEnd w:id="49"/>
          </w:p>
        </w:tc>
        <w:tc>
          <w:tcPr>
            <w:vAlign w:val="top"/>
          </w:tcPr>
          <w:p>
            <w:pPr>
              <w:spacing w:before="0" w:after="0" w:line="275" w:lineRule="atLeast"/>
              <w:jc w:val="both"/>
            </w:pPr>
            <w:r>
              <w:rPr>
                <w:rFonts w:ascii="Times New Roman" w:hAnsi="Times New Roman"/>
                <w:color w:val="000000"/>
                <w:sz w:val="20"/>
              </w:rPr>
              <w:t xml:space="preserve">In Delaware, the term “riparian landowner” includes owner's of bayfront and oceanfront property. </w:t>
            </w:r>
            <w:r>
              <w:rPr>
                <w:rFonts w:ascii="Times New Roman" w:hAnsi="Times New Roman"/>
                <w:i/>
                <w:color w:val="000000"/>
                <w:sz w:val="20"/>
              </w:rPr>
              <w:t xml:space="preserve">See </w:t>
            </w:r>
            <w:hyperlink r:id="r59">
              <w:r>
                <w:rPr>
                  <w:rFonts w:ascii="Times New Roman" w:hAnsi="Times New Roman"/>
                  <w:color w:val="000000"/>
                  <w:sz w:val="30"/>
                </w:rPr>
                <w:drawing>
                  <wp:inline>
                    <wp:extent cx="161925" cy="161925"/>
                    <wp:docPr id="23" name="Picture 1"/>
                    <a:graphic>
                      <a:graphicData uri="http://schemas.openxmlformats.org/drawingml/2006/picture">
                        <p:pic>
                          <p:nvPicPr>
                            <p:cNvPr id="24" name="Picture 1"/>
                            <p:cNvPicPr/>
                          </p:nvPicPr>
                          <p:blipFill>
                            <a:blip r:embed="r18"/>
                            <a:srcRect/>
                            <a:stretch>
                              <a:fillRect/>
                            </a:stretch>
                          </p:blipFill>
                          <p:spPr>
                            <a:xfrm>
                              <a:off x="0" y="0"/>
                              <a:ext cx="161925" cy="161925"/>
                            </a:xfrm>
                            <a:prstGeom prst="rect"/>
                          </p:spPr>
                        </p:pic>
                      </a:graphicData>
                    </a:graphic>
                  </wp:inline>
                </w:drawing>
              </w:r>
            </w:hyperlink>
            <w:hyperlink r:id="r60">
              <w:r>
                <w:rPr>
                  <w:rFonts w:ascii="Times New Roman" w:hAnsi="Times New Roman"/>
                  <w:i/>
                  <w:color w:val="000000"/>
                  <w:sz w:val="20"/>
                </w:rPr>
                <w:t>Bickel v. Polk,</w:t>
              </w:r>
              <w:r>
                <w:rPr>
                  <w:rFonts w:ascii="Times New Roman" w:hAnsi="Times New Roman"/>
                  <w:color w:val="000000"/>
                  <w:sz w:val="20"/>
                </w:rPr>
                <w:t xml:space="preserve"> Del.Super., 5 Harr. 325 (1851)</w:t>
              </w:r>
            </w:hyperlink>
            <w:r>
              <w:rPr>
                <w:rFonts w:ascii="Times New Roman" w:hAnsi="Times New Roman"/>
                <w:color w:val="000000"/>
                <w:sz w:val="20"/>
              </w:rPr>
              <w:t xml:space="preserve">; </w:t>
            </w:r>
            <w:hyperlink r:id="r61">
              <w:r>
                <w:rPr>
                  <w:rFonts w:ascii="Times New Roman" w:hAnsi="Times New Roman"/>
                  <w:color w:val="000000"/>
                  <w:sz w:val="30"/>
                </w:rPr>
                <w:drawing>
                  <wp:inline>
                    <wp:extent cx="161925" cy="161925"/>
                    <wp:docPr id="25" name="Picture 1"/>
                    <a:graphic>
                      <a:graphicData uri="http://schemas.openxmlformats.org/drawingml/2006/picture">
                        <p:pic>
                          <p:nvPicPr>
                            <p:cNvPr id="26" name="Picture 1"/>
                            <p:cNvPicPr/>
                          </p:nvPicPr>
                          <p:blipFill>
                            <a:blip r:embed="r18"/>
                            <a:srcRect/>
                            <a:stretch>
                              <a:fillRect/>
                            </a:stretch>
                          </p:blipFill>
                          <p:spPr>
                            <a:xfrm>
                              <a:off x="0" y="0"/>
                              <a:ext cx="161925" cy="161925"/>
                            </a:xfrm>
                            <a:prstGeom prst="rect"/>
                          </p:spPr>
                        </p:pic>
                      </a:graphicData>
                    </a:graphic>
                  </wp:inline>
                </w:drawing>
              </w:r>
            </w:hyperlink>
            <w:hyperlink r:id="r62">
              <w:r>
                <w:rPr>
                  <w:rFonts w:ascii="Times New Roman" w:hAnsi="Times New Roman"/>
                  <w:i/>
                  <w:color w:val="000000"/>
                  <w:sz w:val="20"/>
                </w:rPr>
                <w:t>Phillips v. State, ex rel. Dept. of Nat. Res.,</w:t>
              </w:r>
              <w:r>
                <w:rPr>
                  <w:rFonts w:ascii="Times New Roman" w:hAnsi="Times New Roman"/>
                  <w:color w:val="000000"/>
                  <w:sz w:val="20"/>
                </w:rPr>
                <w:t xml:space="preserve"> Del.Supr., 449 A.2d 250, 252 (1982)</w:t>
              </w:r>
            </w:hyperlink>
            <w:r>
              <w:rPr>
                <w:rFonts w:ascii="Times New Roman" w:hAnsi="Times New Roman"/>
                <w:color w:val="000000"/>
                <w:sz w:val="20"/>
              </w:rPr>
              <w:t>.</w:t>
            </w:r>
          </w:p>
        </w:tc>
      </w:tr>
      <w:tr>
        <w:tblPrEx/>
        <w:trPr/>
        <w:tc>
          <w:tcPr>
            <w:vAlign w:val="top"/>
          </w:tcPr>
          <w:p>
            <w:pPr>
              <w:spacing w:before="0" w:after="0" w:line="275" w:lineRule="atLeast"/>
            </w:pPr>
            <w:bookmarkStart w:id="50" w:name="co_footnote_B010101994069309_1"/>
            <w:hyperlink w:anchor="co_fnRef_B010101994069309_ID0E6HAG_1">
              <w:r>
                <w:rPr>
                  <w:rFonts w:ascii="Times New Roman" w:hAnsi="Times New Roman"/>
                  <w:color w:val="000000"/>
                  <w:sz w:val="20"/>
                  <w:vertAlign w:val="superscript"/>
                </w:rPr>
                <w:t>10</w:t>
              </w:r>
            </w:hyperlink>
            <w:bookmarkEnd w:id="50"/>
          </w:p>
        </w:tc>
        <w:tc>
          <w:tcPr>
            <w:vAlign w:val="top"/>
          </w:tcPr>
          <w:p>
            <w:pPr>
              <w:spacing w:before="0" w:after="0" w:line="275" w:lineRule="atLeast"/>
              <w:jc w:val="both"/>
            </w:pPr>
            <w:r>
              <w:rPr>
                <w:rFonts w:ascii="Times New Roman" w:hAnsi="Times New Roman"/>
                <w:color w:val="000000"/>
                <w:sz w:val="20"/>
              </w:rPr>
              <w:t xml:space="preserve">The Court is aware that in </w:t>
            </w:r>
            <w:hyperlink r:id="r63">
              <w:r>
                <w:rPr>
                  <w:rFonts w:ascii="Times New Roman" w:hAnsi="Times New Roman"/>
                  <w:color w:val="000000"/>
                  <w:sz w:val="20"/>
                </w:rPr>
                <w:t xml:space="preserve">7 </w:t>
              </w:r>
              <w:r>
                <w:rPr>
                  <w:rFonts w:ascii="Times New Roman" w:hAnsi="Times New Roman"/>
                  <w:i/>
                  <w:color w:val="000000"/>
                  <w:sz w:val="20"/>
                </w:rPr>
                <w:t>Del.C.</w:t>
              </w:r>
              <w:r>
                <w:rPr>
                  <w:rFonts w:ascii="Times New Roman" w:hAnsi="Times New Roman"/>
                  <w:color w:val="000000"/>
                  <w:sz w:val="20"/>
                </w:rPr>
                <w:t xml:space="preserve"> § 6810</w:t>
              </w:r>
            </w:hyperlink>
            <w:r>
              <w:rPr>
                <w:rFonts w:ascii="Times New Roman" w:hAnsi="Times New Roman"/>
                <w:color w:val="000000"/>
                <w:sz w:val="20"/>
              </w:rPr>
              <w:t>, the public right to sunbathe is recognized. The existence of that recognition does not make the extension of the public trust doctrine constitutional, and it does not affect the Court's decision in this matter.</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7" name="Picture 0" descr="Westlaw Logo"/>
                <a:graphic>
                  <a:graphicData uri="http://schemas.openxmlformats.org/drawingml/2006/picture">
                    <p:pic>
                      <p:nvPicPr>
                        <p:cNvPr id="2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Groves v. Secretary of Dept. of Natural Resources and..., Not Reported in A.2d...</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